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37EE4" w14:textId="77777777" w:rsidR="000E1668" w:rsidRDefault="000E1668">
      <w:pPr>
        <w:snapToGrid w:val="0"/>
        <w:spacing w:before="760" w:after="960"/>
        <w:ind w:firstLine="0"/>
        <w:jc w:val="center"/>
        <w:rPr>
          <w:b/>
          <w:color w:val="16324F"/>
          <w:sz w:val="40"/>
        </w:rPr>
      </w:pPr>
      <w:r>
        <w:rPr>
          <w:rFonts w:hint="eastAsia"/>
          <w:b/>
          <w:color w:val="16324F"/>
          <w:sz w:val="40"/>
        </w:rPr>
        <w:t>2026</w:t>
      </w:r>
      <w:r>
        <w:rPr>
          <w:rFonts w:hint="eastAsia"/>
          <w:b/>
          <w:color w:val="16324F"/>
          <w:sz w:val="40"/>
        </w:rPr>
        <w:t>年第</w:t>
      </w:r>
      <w:r>
        <w:rPr>
          <w:rFonts w:hint="eastAsia"/>
          <w:b/>
          <w:color w:val="16324F"/>
          <w:sz w:val="40"/>
        </w:rPr>
        <w:t>11</w:t>
      </w:r>
      <w:r>
        <w:rPr>
          <w:rFonts w:hint="eastAsia"/>
          <w:b/>
          <w:color w:val="16324F"/>
          <w:sz w:val="40"/>
        </w:rPr>
        <w:t>屆台積電青年築夢計畫</w:t>
      </w:r>
    </w:p>
    <w:p w14:paraId="16A7DBFA" w14:textId="77777777" w:rsidR="00ED7F7C" w:rsidRPr="000E1668" w:rsidRDefault="000E1668">
      <w:pPr>
        <w:snapToGrid w:val="0"/>
        <w:spacing w:before="760" w:after="960"/>
        <w:ind w:firstLine="0"/>
        <w:jc w:val="center"/>
        <w:rPr>
          <w:b/>
          <w:color w:val="16324F"/>
          <w:sz w:val="40"/>
        </w:rPr>
      </w:pPr>
      <w:r>
        <w:rPr>
          <w:rFonts w:hint="eastAsia"/>
          <w:b/>
          <w:color w:val="16324F"/>
          <w:sz w:val="40"/>
        </w:rPr>
        <w:t>作品說明書</w:t>
      </w:r>
    </w:p>
    <w:p w14:paraId="40AED612" w14:textId="6ED03DB9" w:rsidR="00ED7F7C" w:rsidRDefault="00CD09D0">
      <w:pPr>
        <w:snapToGrid w:val="0"/>
        <w:spacing w:after="840" w:line="372" w:lineRule="auto"/>
        <w:ind w:firstLine="0"/>
        <w:jc w:val="center"/>
      </w:pPr>
      <w:r>
        <w:rPr>
          <w:rFonts w:eastAsia="微軟正黑體"/>
          <w:b/>
          <w:color w:val="16324F"/>
          <w:sz w:val="50"/>
        </w:rPr>
        <w:t>乾式真空泵</w:t>
      </w:r>
      <w:r w:rsidR="00650460">
        <w:rPr>
          <w:rFonts w:eastAsia="微軟正黑體" w:hint="eastAsia"/>
          <w:b/>
          <w:color w:val="16324F"/>
          <w:sz w:val="50"/>
        </w:rPr>
        <w:t>對晶圓</w:t>
      </w:r>
      <w:r>
        <w:rPr>
          <w:rFonts w:eastAsia="微軟正黑體"/>
          <w:b/>
          <w:color w:val="16324F"/>
          <w:sz w:val="50"/>
        </w:rPr>
        <w:br/>
      </w:r>
      <w:r>
        <w:rPr>
          <w:rFonts w:eastAsia="微軟正黑體"/>
          <w:b/>
          <w:color w:val="16324F"/>
          <w:sz w:val="50"/>
        </w:rPr>
        <w:t>跨工況多模態異常預警模組</w:t>
      </w:r>
    </w:p>
    <w:p w14:paraId="0E5738A0" w14:textId="77777777" w:rsidR="00ED7F7C" w:rsidRDefault="00CD09D0">
      <w:pPr>
        <w:snapToGrid w:val="0"/>
        <w:spacing w:after="560"/>
        <w:ind w:firstLine="0"/>
        <w:jc w:val="center"/>
      </w:pPr>
      <w:r>
        <w:rPr>
          <w:b/>
          <w:sz w:val="30"/>
        </w:rPr>
        <w:t>製作人：國立台灣科技大學</w:t>
      </w:r>
      <w:r>
        <w:rPr>
          <w:b/>
          <w:sz w:val="30"/>
        </w:rPr>
        <w:t xml:space="preserve"> </w:t>
      </w:r>
      <w:r>
        <w:rPr>
          <w:b/>
          <w:sz w:val="30"/>
        </w:rPr>
        <w:t>湯棨富</w:t>
      </w:r>
    </w:p>
    <w:p w14:paraId="4323FB8F" w14:textId="77777777" w:rsidR="00ED7F7C" w:rsidRDefault="00CD09D0">
      <w:pPr>
        <w:snapToGrid w:val="0"/>
        <w:ind w:firstLine="0"/>
        <w:jc w:val="center"/>
      </w:pPr>
      <w:r>
        <w:t>機電整合</w:t>
      </w:r>
      <w:r>
        <w:t xml:space="preserve"> × </w:t>
      </w:r>
      <w:r>
        <w:t>物聯網</w:t>
      </w:r>
      <w:r>
        <w:t xml:space="preserve"> × </w:t>
      </w:r>
      <w:r>
        <w:t>資料科學</w:t>
      </w:r>
      <w:r>
        <w:t xml:space="preserve"> × </w:t>
      </w:r>
      <w:r>
        <w:t>半導體設備</w:t>
      </w:r>
    </w:p>
    <w:p w14:paraId="663DAC6F" w14:textId="77777777" w:rsidR="00ED7F7C" w:rsidRDefault="00ED7F7C">
      <w:pPr>
        <w:sectPr w:rsidR="00ED7F7C">
          <w:pgSz w:w="11906" w:h="16838"/>
          <w:pgMar w:top="1304" w:right="1361" w:bottom="1304" w:left="1361" w:header="624" w:footer="624" w:gutter="0"/>
          <w:cols w:space="720"/>
          <w:docGrid w:linePitch="360"/>
        </w:sectPr>
      </w:pPr>
    </w:p>
    <w:p w14:paraId="670D1BFA" w14:textId="77777777" w:rsidR="00ED7F7C" w:rsidRDefault="00CD09D0">
      <w:pPr>
        <w:snapToGrid w:val="0"/>
        <w:spacing w:after="280"/>
        <w:ind w:firstLine="0"/>
        <w:jc w:val="center"/>
      </w:pPr>
      <w:r>
        <w:rPr>
          <w:b/>
          <w:sz w:val="36"/>
        </w:rPr>
        <w:lastRenderedPageBreak/>
        <w:t>目錄</w:t>
      </w:r>
    </w:p>
    <w:p w14:paraId="02B41395" w14:textId="74D1F1EB" w:rsidR="001C77D0" w:rsidRDefault="00CD09D0">
      <w:pPr>
        <w:pStyle w:val="14"/>
        <w:tabs>
          <w:tab w:val="right" w:leader="dot" w:pos="9174"/>
        </w:tabs>
        <w:rPr>
          <w:rFonts w:asciiTheme="minorHAnsi" w:eastAsiaTheme="minorEastAsia" w:hAnsiTheme="minorHAnsi"/>
          <w:noProof/>
          <w:color w:val="auto"/>
          <w:kern w:val="2"/>
          <w:szCs w:val="24"/>
          <w14:ligatures w14:val="standardContextual"/>
        </w:rPr>
      </w:pPr>
      <w:r>
        <w:fldChar w:fldCharType="begin"/>
      </w:r>
      <w:r>
        <w:instrText xml:space="preserve"> TOC \o "1-3" \h \z \u </w:instrText>
      </w:r>
      <w:r>
        <w:fldChar w:fldCharType="separate"/>
      </w:r>
      <w:hyperlink w:anchor="_Toc242566340" w:history="1">
        <w:r w:rsidR="001C77D0" w:rsidRPr="0019651D">
          <w:rPr>
            <w:rStyle w:val="affa"/>
            <w:noProof/>
          </w:rPr>
          <w:t>壹、摘要</w:t>
        </w:r>
        <w:r w:rsidR="001C77D0">
          <w:rPr>
            <w:noProof/>
            <w:webHidden/>
          </w:rPr>
          <w:tab/>
        </w:r>
        <w:r w:rsidR="001C77D0">
          <w:rPr>
            <w:noProof/>
            <w:webHidden/>
          </w:rPr>
          <w:fldChar w:fldCharType="begin"/>
        </w:r>
        <w:r w:rsidR="001C77D0">
          <w:rPr>
            <w:noProof/>
            <w:webHidden/>
          </w:rPr>
          <w:instrText xml:space="preserve"> PAGEREF _Toc242566340 \h </w:instrText>
        </w:r>
        <w:r w:rsidR="001C77D0">
          <w:rPr>
            <w:noProof/>
            <w:webHidden/>
          </w:rPr>
        </w:r>
        <w:r w:rsidR="001C77D0">
          <w:rPr>
            <w:noProof/>
            <w:webHidden/>
          </w:rPr>
          <w:fldChar w:fldCharType="separate"/>
        </w:r>
        <w:r w:rsidR="001C77D0">
          <w:rPr>
            <w:noProof/>
            <w:webHidden/>
          </w:rPr>
          <w:t>1</w:t>
        </w:r>
        <w:r w:rsidR="001C77D0">
          <w:rPr>
            <w:noProof/>
            <w:webHidden/>
          </w:rPr>
          <w:fldChar w:fldCharType="end"/>
        </w:r>
      </w:hyperlink>
    </w:p>
    <w:p w14:paraId="515FE4CA" w14:textId="29691A9A" w:rsidR="001C77D0" w:rsidRDefault="001C77D0">
      <w:pPr>
        <w:pStyle w:val="14"/>
        <w:tabs>
          <w:tab w:val="right" w:leader="dot" w:pos="9174"/>
        </w:tabs>
        <w:rPr>
          <w:rFonts w:asciiTheme="minorHAnsi" w:eastAsiaTheme="minorEastAsia" w:hAnsiTheme="minorHAnsi"/>
          <w:noProof/>
          <w:color w:val="auto"/>
          <w:kern w:val="2"/>
          <w:szCs w:val="24"/>
          <w14:ligatures w14:val="standardContextual"/>
        </w:rPr>
      </w:pPr>
      <w:hyperlink w:anchor="_Toc242566341" w:history="1">
        <w:r w:rsidRPr="0019651D">
          <w:rPr>
            <w:rStyle w:val="affa"/>
            <w:noProof/>
          </w:rPr>
          <w:t>貳、研究動機</w:t>
        </w:r>
        <w:r>
          <w:rPr>
            <w:noProof/>
            <w:webHidden/>
          </w:rPr>
          <w:tab/>
        </w:r>
        <w:r>
          <w:rPr>
            <w:noProof/>
            <w:webHidden/>
          </w:rPr>
          <w:fldChar w:fldCharType="begin"/>
        </w:r>
        <w:r>
          <w:rPr>
            <w:noProof/>
            <w:webHidden/>
          </w:rPr>
          <w:instrText xml:space="preserve"> PAGEREF _Toc242566341 \h </w:instrText>
        </w:r>
        <w:r>
          <w:rPr>
            <w:noProof/>
            <w:webHidden/>
          </w:rPr>
        </w:r>
        <w:r>
          <w:rPr>
            <w:noProof/>
            <w:webHidden/>
          </w:rPr>
          <w:fldChar w:fldCharType="separate"/>
        </w:r>
        <w:r>
          <w:rPr>
            <w:noProof/>
            <w:webHidden/>
          </w:rPr>
          <w:t>1</w:t>
        </w:r>
        <w:r>
          <w:rPr>
            <w:noProof/>
            <w:webHidden/>
          </w:rPr>
          <w:fldChar w:fldCharType="end"/>
        </w:r>
      </w:hyperlink>
    </w:p>
    <w:p w14:paraId="66D8F2EC" w14:textId="4A54BF46" w:rsidR="001C77D0" w:rsidRDefault="001C77D0">
      <w:pPr>
        <w:pStyle w:val="14"/>
        <w:tabs>
          <w:tab w:val="right" w:leader="dot" w:pos="9174"/>
        </w:tabs>
        <w:rPr>
          <w:rFonts w:asciiTheme="minorHAnsi" w:eastAsiaTheme="minorEastAsia" w:hAnsiTheme="minorHAnsi"/>
          <w:noProof/>
          <w:color w:val="auto"/>
          <w:kern w:val="2"/>
          <w:szCs w:val="24"/>
          <w14:ligatures w14:val="standardContextual"/>
        </w:rPr>
      </w:pPr>
      <w:hyperlink w:anchor="_Toc242566342" w:history="1">
        <w:r w:rsidRPr="0019651D">
          <w:rPr>
            <w:rStyle w:val="affa"/>
            <w:noProof/>
          </w:rPr>
          <w:t>參、主題與課程之相關性或教學單元之說明</w:t>
        </w:r>
        <w:r>
          <w:rPr>
            <w:noProof/>
            <w:webHidden/>
          </w:rPr>
          <w:tab/>
        </w:r>
        <w:r>
          <w:rPr>
            <w:noProof/>
            <w:webHidden/>
          </w:rPr>
          <w:fldChar w:fldCharType="begin"/>
        </w:r>
        <w:r>
          <w:rPr>
            <w:noProof/>
            <w:webHidden/>
          </w:rPr>
          <w:instrText xml:space="preserve"> PAGEREF _Toc242566342 \h </w:instrText>
        </w:r>
        <w:r>
          <w:rPr>
            <w:noProof/>
            <w:webHidden/>
          </w:rPr>
        </w:r>
        <w:r>
          <w:rPr>
            <w:noProof/>
            <w:webHidden/>
          </w:rPr>
          <w:fldChar w:fldCharType="separate"/>
        </w:r>
        <w:r>
          <w:rPr>
            <w:noProof/>
            <w:webHidden/>
          </w:rPr>
          <w:t>2</w:t>
        </w:r>
        <w:r>
          <w:rPr>
            <w:noProof/>
            <w:webHidden/>
          </w:rPr>
          <w:fldChar w:fldCharType="end"/>
        </w:r>
      </w:hyperlink>
    </w:p>
    <w:p w14:paraId="2BEC3AE7" w14:textId="591F8E31"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43" w:history="1">
        <w:r w:rsidRPr="0019651D">
          <w:rPr>
            <w:rStyle w:val="affa"/>
            <w:noProof/>
          </w:rPr>
          <w:t>一、專題實作</w:t>
        </w:r>
        <w:r>
          <w:rPr>
            <w:noProof/>
            <w:webHidden/>
          </w:rPr>
          <w:tab/>
        </w:r>
        <w:r>
          <w:rPr>
            <w:noProof/>
            <w:webHidden/>
          </w:rPr>
          <w:fldChar w:fldCharType="begin"/>
        </w:r>
        <w:r>
          <w:rPr>
            <w:noProof/>
            <w:webHidden/>
          </w:rPr>
          <w:instrText xml:space="preserve"> PAGEREF _Toc242566343 \h </w:instrText>
        </w:r>
        <w:r>
          <w:rPr>
            <w:noProof/>
            <w:webHidden/>
          </w:rPr>
        </w:r>
        <w:r>
          <w:rPr>
            <w:noProof/>
            <w:webHidden/>
          </w:rPr>
          <w:fldChar w:fldCharType="separate"/>
        </w:r>
        <w:r>
          <w:rPr>
            <w:noProof/>
            <w:webHidden/>
          </w:rPr>
          <w:t>2</w:t>
        </w:r>
        <w:r>
          <w:rPr>
            <w:noProof/>
            <w:webHidden/>
          </w:rPr>
          <w:fldChar w:fldCharType="end"/>
        </w:r>
      </w:hyperlink>
    </w:p>
    <w:p w14:paraId="209C6A5D" w14:textId="2BA22A9E"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44" w:history="1">
        <w:r w:rsidRPr="0019651D">
          <w:rPr>
            <w:rStyle w:val="affa"/>
            <w:noProof/>
          </w:rPr>
          <w:t>二、電工機械實習</w:t>
        </w:r>
        <w:r>
          <w:rPr>
            <w:noProof/>
            <w:webHidden/>
          </w:rPr>
          <w:tab/>
        </w:r>
        <w:r>
          <w:rPr>
            <w:noProof/>
            <w:webHidden/>
          </w:rPr>
          <w:fldChar w:fldCharType="begin"/>
        </w:r>
        <w:r>
          <w:rPr>
            <w:noProof/>
            <w:webHidden/>
          </w:rPr>
          <w:instrText xml:space="preserve"> PAGEREF _Toc242566344 \h </w:instrText>
        </w:r>
        <w:r>
          <w:rPr>
            <w:noProof/>
            <w:webHidden/>
          </w:rPr>
        </w:r>
        <w:r>
          <w:rPr>
            <w:noProof/>
            <w:webHidden/>
          </w:rPr>
          <w:fldChar w:fldCharType="separate"/>
        </w:r>
        <w:r>
          <w:rPr>
            <w:noProof/>
            <w:webHidden/>
          </w:rPr>
          <w:t>2</w:t>
        </w:r>
        <w:r>
          <w:rPr>
            <w:noProof/>
            <w:webHidden/>
          </w:rPr>
          <w:fldChar w:fldCharType="end"/>
        </w:r>
      </w:hyperlink>
    </w:p>
    <w:p w14:paraId="2BA93F56" w14:textId="332A6CCF"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45" w:history="1">
        <w:r w:rsidRPr="0019651D">
          <w:rPr>
            <w:rStyle w:val="affa"/>
            <w:noProof/>
          </w:rPr>
          <w:t>三、基本電學實習</w:t>
        </w:r>
        <w:r>
          <w:rPr>
            <w:noProof/>
            <w:webHidden/>
          </w:rPr>
          <w:tab/>
        </w:r>
        <w:r>
          <w:rPr>
            <w:noProof/>
            <w:webHidden/>
          </w:rPr>
          <w:fldChar w:fldCharType="begin"/>
        </w:r>
        <w:r>
          <w:rPr>
            <w:noProof/>
            <w:webHidden/>
          </w:rPr>
          <w:instrText xml:space="preserve"> PAGEREF _Toc242566345 \h </w:instrText>
        </w:r>
        <w:r>
          <w:rPr>
            <w:noProof/>
            <w:webHidden/>
          </w:rPr>
        </w:r>
        <w:r>
          <w:rPr>
            <w:noProof/>
            <w:webHidden/>
          </w:rPr>
          <w:fldChar w:fldCharType="separate"/>
        </w:r>
        <w:r>
          <w:rPr>
            <w:noProof/>
            <w:webHidden/>
          </w:rPr>
          <w:t>2</w:t>
        </w:r>
        <w:r>
          <w:rPr>
            <w:noProof/>
            <w:webHidden/>
          </w:rPr>
          <w:fldChar w:fldCharType="end"/>
        </w:r>
      </w:hyperlink>
    </w:p>
    <w:p w14:paraId="16EFA002" w14:textId="0EAD459C" w:rsidR="001C77D0" w:rsidRDefault="001C77D0">
      <w:pPr>
        <w:pStyle w:val="14"/>
        <w:tabs>
          <w:tab w:val="right" w:leader="dot" w:pos="9174"/>
        </w:tabs>
        <w:rPr>
          <w:rFonts w:asciiTheme="minorHAnsi" w:eastAsiaTheme="minorEastAsia" w:hAnsiTheme="minorHAnsi"/>
          <w:noProof/>
          <w:color w:val="auto"/>
          <w:kern w:val="2"/>
          <w:szCs w:val="24"/>
          <w14:ligatures w14:val="standardContextual"/>
        </w:rPr>
      </w:pPr>
      <w:hyperlink w:anchor="_Toc242566346" w:history="1">
        <w:r w:rsidRPr="0019651D">
          <w:rPr>
            <w:rStyle w:val="affa"/>
            <w:noProof/>
          </w:rPr>
          <w:t>肆、研究方法</w:t>
        </w:r>
        <w:r>
          <w:rPr>
            <w:noProof/>
            <w:webHidden/>
          </w:rPr>
          <w:tab/>
        </w:r>
        <w:r>
          <w:rPr>
            <w:noProof/>
            <w:webHidden/>
          </w:rPr>
          <w:fldChar w:fldCharType="begin"/>
        </w:r>
        <w:r>
          <w:rPr>
            <w:noProof/>
            <w:webHidden/>
          </w:rPr>
          <w:instrText xml:space="preserve"> PAGEREF _Toc242566346 \h </w:instrText>
        </w:r>
        <w:r>
          <w:rPr>
            <w:noProof/>
            <w:webHidden/>
          </w:rPr>
        </w:r>
        <w:r>
          <w:rPr>
            <w:noProof/>
            <w:webHidden/>
          </w:rPr>
          <w:fldChar w:fldCharType="separate"/>
        </w:r>
        <w:r>
          <w:rPr>
            <w:noProof/>
            <w:webHidden/>
          </w:rPr>
          <w:t>3</w:t>
        </w:r>
        <w:r>
          <w:rPr>
            <w:noProof/>
            <w:webHidden/>
          </w:rPr>
          <w:fldChar w:fldCharType="end"/>
        </w:r>
      </w:hyperlink>
    </w:p>
    <w:p w14:paraId="01DA376F" w14:textId="41669A5A"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47" w:history="1">
        <w:r w:rsidRPr="0019651D">
          <w:rPr>
            <w:rStyle w:val="affa"/>
            <w:noProof/>
          </w:rPr>
          <w:t>一、專題實作</w:t>
        </w:r>
        <w:r>
          <w:rPr>
            <w:noProof/>
            <w:webHidden/>
          </w:rPr>
          <w:tab/>
        </w:r>
        <w:r>
          <w:rPr>
            <w:noProof/>
            <w:webHidden/>
          </w:rPr>
          <w:fldChar w:fldCharType="begin"/>
        </w:r>
        <w:r>
          <w:rPr>
            <w:noProof/>
            <w:webHidden/>
          </w:rPr>
          <w:instrText xml:space="preserve"> PAGEREF _Toc242566347 \h </w:instrText>
        </w:r>
        <w:r>
          <w:rPr>
            <w:noProof/>
            <w:webHidden/>
          </w:rPr>
        </w:r>
        <w:r>
          <w:rPr>
            <w:noProof/>
            <w:webHidden/>
          </w:rPr>
          <w:fldChar w:fldCharType="separate"/>
        </w:r>
        <w:r>
          <w:rPr>
            <w:noProof/>
            <w:webHidden/>
          </w:rPr>
          <w:t>3</w:t>
        </w:r>
        <w:r>
          <w:rPr>
            <w:noProof/>
            <w:webHidden/>
          </w:rPr>
          <w:fldChar w:fldCharType="end"/>
        </w:r>
      </w:hyperlink>
    </w:p>
    <w:p w14:paraId="2B8D5479" w14:textId="5D60EE4D"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48" w:history="1">
        <w:r w:rsidRPr="0019651D">
          <w:rPr>
            <w:rStyle w:val="affa"/>
            <w:noProof/>
          </w:rPr>
          <w:t>二、硬體裝置</w:t>
        </w:r>
        <w:r>
          <w:rPr>
            <w:noProof/>
            <w:webHidden/>
          </w:rPr>
          <w:tab/>
        </w:r>
        <w:r>
          <w:rPr>
            <w:noProof/>
            <w:webHidden/>
          </w:rPr>
          <w:fldChar w:fldCharType="begin"/>
        </w:r>
        <w:r>
          <w:rPr>
            <w:noProof/>
            <w:webHidden/>
          </w:rPr>
          <w:instrText xml:space="preserve"> PAGEREF _Toc242566348 \h </w:instrText>
        </w:r>
        <w:r>
          <w:rPr>
            <w:noProof/>
            <w:webHidden/>
          </w:rPr>
        </w:r>
        <w:r>
          <w:rPr>
            <w:noProof/>
            <w:webHidden/>
          </w:rPr>
          <w:fldChar w:fldCharType="separate"/>
        </w:r>
        <w:r>
          <w:rPr>
            <w:noProof/>
            <w:webHidden/>
          </w:rPr>
          <w:t>4</w:t>
        </w:r>
        <w:r>
          <w:rPr>
            <w:noProof/>
            <w:webHidden/>
          </w:rPr>
          <w:fldChar w:fldCharType="end"/>
        </w:r>
      </w:hyperlink>
    </w:p>
    <w:p w14:paraId="67EE73CF" w14:textId="050F0C4A"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49" w:history="1">
        <w:r w:rsidRPr="0019651D">
          <w:rPr>
            <w:rStyle w:val="affa"/>
            <w:noProof/>
          </w:rPr>
          <w:t>(</w:t>
        </w:r>
        <w:r w:rsidRPr="0019651D">
          <w:rPr>
            <w:rStyle w:val="affa"/>
            <w:noProof/>
          </w:rPr>
          <w:t>一</w:t>
        </w:r>
        <w:r w:rsidRPr="0019651D">
          <w:rPr>
            <w:rStyle w:val="affa"/>
            <w:noProof/>
          </w:rPr>
          <w:t xml:space="preserve">) </w:t>
        </w:r>
        <w:r w:rsidRPr="0019651D">
          <w:rPr>
            <w:rStyle w:val="affa"/>
            <w:noProof/>
          </w:rPr>
          <w:t>邊緣運算裝置</w:t>
        </w:r>
        <w:r>
          <w:rPr>
            <w:noProof/>
            <w:webHidden/>
          </w:rPr>
          <w:tab/>
        </w:r>
        <w:r>
          <w:rPr>
            <w:noProof/>
            <w:webHidden/>
          </w:rPr>
          <w:fldChar w:fldCharType="begin"/>
        </w:r>
        <w:r>
          <w:rPr>
            <w:noProof/>
            <w:webHidden/>
          </w:rPr>
          <w:instrText xml:space="preserve"> PAGEREF _Toc242566349 \h </w:instrText>
        </w:r>
        <w:r>
          <w:rPr>
            <w:noProof/>
            <w:webHidden/>
          </w:rPr>
        </w:r>
        <w:r>
          <w:rPr>
            <w:noProof/>
            <w:webHidden/>
          </w:rPr>
          <w:fldChar w:fldCharType="separate"/>
        </w:r>
        <w:r>
          <w:rPr>
            <w:noProof/>
            <w:webHidden/>
          </w:rPr>
          <w:t>4</w:t>
        </w:r>
        <w:r>
          <w:rPr>
            <w:noProof/>
            <w:webHidden/>
          </w:rPr>
          <w:fldChar w:fldCharType="end"/>
        </w:r>
      </w:hyperlink>
    </w:p>
    <w:p w14:paraId="41DDB27A" w14:textId="03AC65FE"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50" w:history="1">
        <w:r w:rsidRPr="0019651D">
          <w:rPr>
            <w:rStyle w:val="affa"/>
            <w:noProof/>
          </w:rPr>
          <w:t>(</w:t>
        </w:r>
        <w:r w:rsidRPr="0019651D">
          <w:rPr>
            <w:rStyle w:val="affa"/>
            <w:noProof/>
          </w:rPr>
          <w:t>二</w:t>
        </w:r>
        <w:r w:rsidRPr="0019651D">
          <w:rPr>
            <w:rStyle w:val="affa"/>
            <w:noProof/>
          </w:rPr>
          <w:t xml:space="preserve">) </w:t>
        </w:r>
        <w:r w:rsidRPr="0019651D">
          <w:rPr>
            <w:rStyle w:val="affa"/>
            <w:noProof/>
          </w:rPr>
          <w:t>同步資料擷取模組（</w:t>
        </w:r>
        <w:r w:rsidRPr="0019651D">
          <w:rPr>
            <w:rStyle w:val="affa"/>
            <w:noProof/>
          </w:rPr>
          <w:t>DAQ</w:t>
        </w:r>
        <w:r w:rsidRPr="0019651D">
          <w:rPr>
            <w:rStyle w:val="affa"/>
            <w:noProof/>
          </w:rPr>
          <w:t>）</w:t>
        </w:r>
        <w:r>
          <w:rPr>
            <w:noProof/>
            <w:webHidden/>
          </w:rPr>
          <w:tab/>
        </w:r>
        <w:r>
          <w:rPr>
            <w:noProof/>
            <w:webHidden/>
          </w:rPr>
          <w:fldChar w:fldCharType="begin"/>
        </w:r>
        <w:r>
          <w:rPr>
            <w:noProof/>
            <w:webHidden/>
          </w:rPr>
          <w:instrText xml:space="preserve"> PAGEREF _Toc242566350 \h </w:instrText>
        </w:r>
        <w:r>
          <w:rPr>
            <w:noProof/>
            <w:webHidden/>
          </w:rPr>
        </w:r>
        <w:r>
          <w:rPr>
            <w:noProof/>
            <w:webHidden/>
          </w:rPr>
          <w:fldChar w:fldCharType="separate"/>
        </w:r>
        <w:r>
          <w:rPr>
            <w:noProof/>
            <w:webHidden/>
          </w:rPr>
          <w:t>4</w:t>
        </w:r>
        <w:r>
          <w:rPr>
            <w:noProof/>
            <w:webHidden/>
          </w:rPr>
          <w:fldChar w:fldCharType="end"/>
        </w:r>
      </w:hyperlink>
    </w:p>
    <w:p w14:paraId="7114C9D5" w14:textId="0BD46044"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51" w:history="1">
        <w:r w:rsidRPr="0019651D">
          <w:rPr>
            <w:rStyle w:val="affa"/>
            <w:noProof/>
          </w:rPr>
          <w:t>(</w:t>
        </w:r>
        <w:r w:rsidRPr="0019651D">
          <w:rPr>
            <w:rStyle w:val="affa"/>
            <w:noProof/>
          </w:rPr>
          <w:t>三</w:t>
        </w:r>
        <w:r w:rsidRPr="0019651D">
          <w:rPr>
            <w:rStyle w:val="affa"/>
            <w:noProof/>
          </w:rPr>
          <w:t xml:space="preserve">) </w:t>
        </w:r>
        <w:r w:rsidRPr="0019651D">
          <w:rPr>
            <w:rStyle w:val="affa"/>
            <w:noProof/>
          </w:rPr>
          <w:t>高頻震動感測器</w:t>
        </w:r>
        <w:r>
          <w:rPr>
            <w:noProof/>
            <w:webHidden/>
          </w:rPr>
          <w:tab/>
        </w:r>
        <w:r>
          <w:rPr>
            <w:noProof/>
            <w:webHidden/>
          </w:rPr>
          <w:fldChar w:fldCharType="begin"/>
        </w:r>
        <w:r>
          <w:rPr>
            <w:noProof/>
            <w:webHidden/>
          </w:rPr>
          <w:instrText xml:space="preserve"> PAGEREF _Toc242566351 \h </w:instrText>
        </w:r>
        <w:r>
          <w:rPr>
            <w:noProof/>
            <w:webHidden/>
          </w:rPr>
        </w:r>
        <w:r>
          <w:rPr>
            <w:noProof/>
            <w:webHidden/>
          </w:rPr>
          <w:fldChar w:fldCharType="separate"/>
        </w:r>
        <w:r>
          <w:rPr>
            <w:noProof/>
            <w:webHidden/>
          </w:rPr>
          <w:t>5</w:t>
        </w:r>
        <w:r>
          <w:rPr>
            <w:noProof/>
            <w:webHidden/>
          </w:rPr>
          <w:fldChar w:fldCharType="end"/>
        </w:r>
      </w:hyperlink>
    </w:p>
    <w:p w14:paraId="458FF693" w14:textId="0F544DEF"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52" w:history="1">
        <w:r w:rsidRPr="0019651D">
          <w:rPr>
            <w:rStyle w:val="affa"/>
            <w:noProof/>
          </w:rPr>
          <w:t>(</w:t>
        </w:r>
        <w:r w:rsidRPr="0019651D">
          <w:rPr>
            <w:rStyle w:val="affa"/>
            <w:noProof/>
          </w:rPr>
          <w:t>四</w:t>
        </w:r>
        <w:r w:rsidRPr="0019651D">
          <w:rPr>
            <w:rStyle w:val="affa"/>
            <w:noProof/>
          </w:rPr>
          <w:t xml:space="preserve">) </w:t>
        </w:r>
        <w:r w:rsidRPr="0019651D">
          <w:rPr>
            <w:rStyle w:val="affa"/>
            <w:noProof/>
          </w:rPr>
          <w:t>隔離式電流感測器</w:t>
        </w:r>
        <w:r>
          <w:rPr>
            <w:noProof/>
            <w:webHidden/>
          </w:rPr>
          <w:tab/>
        </w:r>
        <w:r>
          <w:rPr>
            <w:noProof/>
            <w:webHidden/>
          </w:rPr>
          <w:fldChar w:fldCharType="begin"/>
        </w:r>
        <w:r>
          <w:rPr>
            <w:noProof/>
            <w:webHidden/>
          </w:rPr>
          <w:instrText xml:space="preserve"> PAGEREF _Toc242566352 \h </w:instrText>
        </w:r>
        <w:r>
          <w:rPr>
            <w:noProof/>
            <w:webHidden/>
          </w:rPr>
        </w:r>
        <w:r>
          <w:rPr>
            <w:noProof/>
            <w:webHidden/>
          </w:rPr>
          <w:fldChar w:fldCharType="separate"/>
        </w:r>
        <w:r>
          <w:rPr>
            <w:noProof/>
            <w:webHidden/>
          </w:rPr>
          <w:t>5</w:t>
        </w:r>
        <w:r>
          <w:rPr>
            <w:noProof/>
            <w:webHidden/>
          </w:rPr>
          <w:fldChar w:fldCharType="end"/>
        </w:r>
      </w:hyperlink>
    </w:p>
    <w:p w14:paraId="3EF34B88" w14:textId="6A6AACD9"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53" w:history="1">
        <w:r w:rsidRPr="0019651D">
          <w:rPr>
            <w:rStyle w:val="affa"/>
            <w:noProof/>
          </w:rPr>
          <w:t>(</w:t>
        </w:r>
        <w:r w:rsidRPr="0019651D">
          <w:rPr>
            <w:rStyle w:val="affa"/>
            <w:noProof/>
          </w:rPr>
          <w:t>五</w:t>
        </w:r>
        <w:r w:rsidRPr="0019651D">
          <w:rPr>
            <w:rStyle w:val="affa"/>
            <w:noProof/>
          </w:rPr>
          <w:t xml:space="preserve">) </w:t>
        </w:r>
        <w:r w:rsidRPr="0019651D">
          <w:rPr>
            <w:rStyle w:val="affa"/>
            <w:noProof/>
          </w:rPr>
          <w:t>溫度感測器與轉換模組</w:t>
        </w:r>
        <w:r>
          <w:rPr>
            <w:noProof/>
            <w:webHidden/>
          </w:rPr>
          <w:tab/>
        </w:r>
        <w:r>
          <w:rPr>
            <w:noProof/>
            <w:webHidden/>
          </w:rPr>
          <w:fldChar w:fldCharType="begin"/>
        </w:r>
        <w:r>
          <w:rPr>
            <w:noProof/>
            <w:webHidden/>
          </w:rPr>
          <w:instrText xml:space="preserve"> PAGEREF _Toc242566353 \h </w:instrText>
        </w:r>
        <w:r>
          <w:rPr>
            <w:noProof/>
            <w:webHidden/>
          </w:rPr>
        </w:r>
        <w:r>
          <w:rPr>
            <w:noProof/>
            <w:webHidden/>
          </w:rPr>
          <w:fldChar w:fldCharType="separate"/>
        </w:r>
        <w:r>
          <w:rPr>
            <w:noProof/>
            <w:webHidden/>
          </w:rPr>
          <w:t>5</w:t>
        </w:r>
        <w:r>
          <w:rPr>
            <w:noProof/>
            <w:webHidden/>
          </w:rPr>
          <w:fldChar w:fldCharType="end"/>
        </w:r>
      </w:hyperlink>
    </w:p>
    <w:p w14:paraId="16A569FD" w14:textId="5A9A7B69"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54" w:history="1">
        <w:r w:rsidRPr="0019651D">
          <w:rPr>
            <w:rStyle w:val="affa"/>
            <w:noProof/>
          </w:rPr>
          <w:t>(</w:t>
        </w:r>
        <w:r w:rsidRPr="0019651D">
          <w:rPr>
            <w:rStyle w:val="affa"/>
            <w:noProof/>
          </w:rPr>
          <w:t>六</w:t>
        </w:r>
        <w:r w:rsidRPr="0019651D">
          <w:rPr>
            <w:rStyle w:val="affa"/>
            <w:noProof/>
          </w:rPr>
          <w:t xml:space="preserve">) </w:t>
        </w:r>
        <w:r w:rsidRPr="0019651D">
          <w:rPr>
            <w:rStyle w:val="affa"/>
            <w:noProof/>
          </w:rPr>
          <w:t>工況參數擷取介面</w:t>
        </w:r>
        <w:r>
          <w:rPr>
            <w:noProof/>
            <w:webHidden/>
          </w:rPr>
          <w:tab/>
        </w:r>
        <w:r>
          <w:rPr>
            <w:noProof/>
            <w:webHidden/>
          </w:rPr>
          <w:fldChar w:fldCharType="begin"/>
        </w:r>
        <w:r>
          <w:rPr>
            <w:noProof/>
            <w:webHidden/>
          </w:rPr>
          <w:instrText xml:space="preserve"> PAGEREF _Toc242566354 \h </w:instrText>
        </w:r>
        <w:r>
          <w:rPr>
            <w:noProof/>
            <w:webHidden/>
          </w:rPr>
        </w:r>
        <w:r>
          <w:rPr>
            <w:noProof/>
            <w:webHidden/>
          </w:rPr>
          <w:fldChar w:fldCharType="separate"/>
        </w:r>
        <w:r>
          <w:rPr>
            <w:noProof/>
            <w:webHidden/>
          </w:rPr>
          <w:t>6</w:t>
        </w:r>
        <w:r>
          <w:rPr>
            <w:noProof/>
            <w:webHidden/>
          </w:rPr>
          <w:fldChar w:fldCharType="end"/>
        </w:r>
      </w:hyperlink>
    </w:p>
    <w:p w14:paraId="62DFD09F" w14:textId="2C109814"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55" w:history="1">
        <w:r w:rsidRPr="0019651D">
          <w:rPr>
            <w:rStyle w:val="affa"/>
            <w:noProof/>
          </w:rPr>
          <w:t>(</w:t>
        </w:r>
        <w:r w:rsidRPr="0019651D">
          <w:rPr>
            <w:rStyle w:val="affa"/>
            <w:noProof/>
          </w:rPr>
          <w:t>七</w:t>
        </w:r>
        <w:r w:rsidRPr="0019651D">
          <w:rPr>
            <w:rStyle w:val="affa"/>
            <w:noProof/>
          </w:rPr>
          <w:t xml:space="preserve">) </w:t>
        </w:r>
        <w:r w:rsidRPr="0019651D">
          <w:rPr>
            <w:rStyle w:val="affa"/>
            <w:noProof/>
          </w:rPr>
          <w:t>網路通訊設備</w:t>
        </w:r>
        <w:r>
          <w:rPr>
            <w:noProof/>
            <w:webHidden/>
          </w:rPr>
          <w:tab/>
        </w:r>
        <w:r>
          <w:rPr>
            <w:noProof/>
            <w:webHidden/>
          </w:rPr>
          <w:fldChar w:fldCharType="begin"/>
        </w:r>
        <w:r>
          <w:rPr>
            <w:noProof/>
            <w:webHidden/>
          </w:rPr>
          <w:instrText xml:space="preserve"> PAGEREF _Toc242566355 \h </w:instrText>
        </w:r>
        <w:r>
          <w:rPr>
            <w:noProof/>
            <w:webHidden/>
          </w:rPr>
        </w:r>
        <w:r>
          <w:rPr>
            <w:noProof/>
            <w:webHidden/>
          </w:rPr>
          <w:fldChar w:fldCharType="separate"/>
        </w:r>
        <w:r>
          <w:rPr>
            <w:noProof/>
            <w:webHidden/>
          </w:rPr>
          <w:t>6</w:t>
        </w:r>
        <w:r>
          <w:rPr>
            <w:noProof/>
            <w:webHidden/>
          </w:rPr>
          <w:fldChar w:fldCharType="end"/>
        </w:r>
      </w:hyperlink>
    </w:p>
    <w:p w14:paraId="3F534911" w14:textId="06854152"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56" w:history="1">
        <w:r w:rsidRPr="0019651D">
          <w:rPr>
            <w:rStyle w:val="affa"/>
            <w:noProof/>
          </w:rPr>
          <w:t>(</w:t>
        </w:r>
        <w:r w:rsidRPr="0019651D">
          <w:rPr>
            <w:rStyle w:val="affa"/>
            <w:noProof/>
          </w:rPr>
          <w:t>八</w:t>
        </w:r>
        <w:r w:rsidRPr="0019651D">
          <w:rPr>
            <w:rStyle w:val="affa"/>
            <w:noProof/>
          </w:rPr>
          <w:t xml:space="preserve">) </w:t>
        </w:r>
        <w:r w:rsidRPr="0019651D">
          <w:rPr>
            <w:rStyle w:val="affa"/>
            <w:noProof/>
          </w:rPr>
          <w:t>電源、儲存與保護機構</w:t>
        </w:r>
        <w:r>
          <w:rPr>
            <w:noProof/>
            <w:webHidden/>
          </w:rPr>
          <w:tab/>
        </w:r>
        <w:r>
          <w:rPr>
            <w:noProof/>
            <w:webHidden/>
          </w:rPr>
          <w:fldChar w:fldCharType="begin"/>
        </w:r>
        <w:r>
          <w:rPr>
            <w:noProof/>
            <w:webHidden/>
          </w:rPr>
          <w:instrText xml:space="preserve"> PAGEREF _Toc242566356 \h </w:instrText>
        </w:r>
        <w:r>
          <w:rPr>
            <w:noProof/>
            <w:webHidden/>
          </w:rPr>
        </w:r>
        <w:r>
          <w:rPr>
            <w:noProof/>
            <w:webHidden/>
          </w:rPr>
          <w:fldChar w:fldCharType="separate"/>
        </w:r>
        <w:r>
          <w:rPr>
            <w:noProof/>
            <w:webHidden/>
          </w:rPr>
          <w:t>6</w:t>
        </w:r>
        <w:r>
          <w:rPr>
            <w:noProof/>
            <w:webHidden/>
          </w:rPr>
          <w:fldChar w:fldCharType="end"/>
        </w:r>
      </w:hyperlink>
    </w:p>
    <w:p w14:paraId="7926DAD4" w14:textId="24A9D328"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57" w:history="1">
        <w:r w:rsidRPr="0019651D">
          <w:rPr>
            <w:rStyle w:val="affa"/>
            <w:noProof/>
          </w:rPr>
          <w:t>三、相關軟體</w:t>
        </w:r>
        <w:r>
          <w:rPr>
            <w:noProof/>
            <w:webHidden/>
          </w:rPr>
          <w:tab/>
        </w:r>
        <w:r>
          <w:rPr>
            <w:noProof/>
            <w:webHidden/>
          </w:rPr>
          <w:fldChar w:fldCharType="begin"/>
        </w:r>
        <w:r>
          <w:rPr>
            <w:noProof/>
            <w:webHidden/>
          </w:rPr>
          <w:instrText xml:space="preserve"> PAGEREF _Toc242566357 \h </w:instrText>
        </w:r>
        <w:r>
          <w:rPr>
            <w:noProof/>
            <w:webHidden/>
          </w:rPr>
        </w:r>
        <w:r>
          <w:rPr>
            <w:noProof/>
            <w:webHidden/>
          </w:rPr>
          <w:fldChar w:fldCharType="separate"/>
        </w:r>
        <w:r>
          <w:rPr>
            <w:noProof/>
            <w:webHidden/>
          </w:rPr>
          <w:t>7</w:t>
        </w:r>
        <w:r>
          <w:rPr>
            <w:noProof/>
            <w:webHidden/>
          </w:rPr>
          <w:fldChar w:fldCharType="end"/>
        </w:r>
      </w:hyperlink>
    </w:p>
    <w:p w14:paraId="62A5E60F" w14:textId="5191CEAB"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58" w:history="1">
        <w:r w:rsidRPr="0019651D">
          <w:rPr>
            <w:rStyle w:val="affa"/>
            <w:noProof/>
          </w:rPr>
          <w:t>(</w:t>
        </w:r>
        <w:r w:rsidRPr="0019651D">
          <w:rPr>
            <w:rStyle w:val="affa"/>
            <w:noProof/>
          </w:rPr>
          <w:t>一</w:t>
        </w:r>
        <w:r w:rsidRPr="0019651D">
          <w:rPr>
            <w:rStyle w:val="affa"/>
            <w:noProof/>
          </w:rPr>
          <w:t>) Python</w:t>
        </w:r>
        <w:r w:rsidRPr="0019651D">
          <w:rPr>
            <w:rStyle w:val="affa"/>
            <w:noProof/>
          </w:rPr>
          <w:t>資料處理與通訊程式</w:t>
        </w:r>
        <w:r>
          <w:rPr>
            <w:noProof/>
            <w:webHidden/>
          </w:rPr>
          <w:tab/>
        </w:r>
        <w:r>
          <w:rPr>
            <w:noProof/>
            <w:webHidden/>
          </w:rPr>
          <w:fldChar w:fldCharType="begin"/>
        </w:r>
        <w:r>
          <w:rPr>
            <w:noProof/>
            <w:webHidden/>
          </w:rPr>
          <w:instrText xml:space="preserve"> PAGEREF _Toc242566358 \h </w:instrText>
        </w:r>
        <w:r>
          <w:rPr>
            <w:noProof/>
            <w:webHidden/>
          </w:rPr>
        </w:r>
        <w:r>
          <w:rPr>
            <w:noProof/>
            <w:webHidden/>
          </w:rPr>
          <w:fldChar w:fldCharType="separate"/>
        </w:r>
        <w:r>
          <w:rPr>
            <w:noProof/>
            <w:webHidden/>
          </w:rPr>
          <w:t>7</w:t>
        </w:r>
        <w:r>
          <w:rPr>
            <w:noProof/>
            <w:webHidden/>
          </w:rPr>
          <w:fldChar w:fldCharType="end"/>
        </w:r>
      </w:hyperlink>
    </w:p>
    <w:p w14:paraId="1177AEC9" w14:textId="1375823A"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59" w:history="1">
        <w:r w:rsidRPr="0019651D">
          <w:rPr>
            <w:rStyle w:val="affa"/>
            <w:noProof/>
          </w:rPr>
          <w:t>(</w:t>
        </w:r>
        <w:r w:rsidRPr="0019651D">
          <w:rPr>
            <w:rStyle w:val="affa"/>
            <w:noProof/>
          </w:rPr>
          <w:t>二</w:t>
        </w:r>
        <w:r w:rsidRPr="0019651D">
          <w:rPr>
            <w:rStyle w:val="affa"/>
            <w:noProof/>
          </w:rPr>
          <w:t>) AI</w:t>
        </w:r>
        <w:r w:rsidRPr="0019651D">
          <w:rPr>
            <w:rStyle w:val="affa"/>
            <w:noProof/>
          </w:rPr>
          <w:t>模型框架</w:t>
        </w:r>
        <w:r>
          <w:rPr>
            <w:noProof/>
            <w:webHidden/>
          </w:rPr>
          <w:tab/>
        </w:r>
        <w:r>
          <w:rPr>
            <w:noProof/>
            <w:webHidden/>
          </w:rPr>
          <w:fldChar w:fldCharType="begin"/>
        </w:r>
        <w:r>
          <w:rPr>
            <w:noProof/>
            <w:webHidden/>
          </w:rPr>
          <w:instrText xml:space="preserve"> PAGEREF _Toc242566359 \h </w:instrText>
        </w:r>
        <w:r>
          <w:rPr>
            <w:noProof/>
            <w:webHidden/>
          </w:rPr>
        </w:r>
        <w:r>
          <w:rPr>
            <w:noProof/>
            <w:webHidden/>
          </w:rPr>
          <w:fldChar w:fldCharType="separate"/>
        </w:r>
        <w:r>
          <w:rPr>
            <w:noProof/>
            <w:webHidden/>
          </w:rPr>
          <w:t>7</w:t>
        </w:r>
        <w:r>
          <w:rPr>
            <w:noProof/>
            <w:webHidden/>
          </w:rPr>
          <w:fldChar w:fldCharType="end"/>
        </w:r>
      </w:hyperlink>
    </w:p>
    <w:p w14:paraId="3779069F" w14:textId="28380D4A"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60" w:history="1">
        <w:r w:rsidRPr="0019651D">
          <w:rPr>
            <w:rStyle w:val="affa"/>
            <w:noProof/>
          </w:rPr>
          <w:t>(</w:t>
        </w:r>
        <w:r w:rsidRPr="0019651D">
          <w:rPr>
            <w:rStyle w:val="affa"/>
            <w:noProof/>
          </w:rPr>
          <w:t>三</w:t>
        </w:r>
        <w:r w:rsidRPr="0019651D">
          <w:rPr>
            <w:rStyle w:val="affa"/>
            <w:noProof/>
          </w:rPr>
          <w:t>) Grafana</w:t>
        </w:r>
        <w:r w:rsidRPr="0019651D">
          <w:rPr>
            <w:rStyle w:val="affa"/>
            <w:noProof/>
          </w:rPr>
          <w:t>與參數設定</w:t>
        </w:r>
        <w:r w:rsidRPr="0019651D">
          <w:rPr>
            <w:rStyle w:val="affa"/>
            <w:noProof/>
          </w:rPr>
          <w:t>Web</w:t>
        </w:r>
        <w:r w:rsidRPr="0019651D">
          <w:rPr>
            <w:rStyle w:val="affa"/>
            <w:noProof/>
          </w:rPr>
          <w:t>介面</w:t>
        </w:r>
        <w:r>
          <w:rPr>
            <w:noProof/>
            <w:webHidden/>
          </w:rPr>
          <w:tab/>
        </w:r>
        <w:r>
          <w:rPr>
            <w:noProof/>
            <w:webHidden/>
          </w:rPr>
          <w:fldChar w:fldCharType="begin"/>
        </w:r>
        <w:r>
          <w:rPr>
            <w:noProof/>
            <w:webHidden/>
          </w:rPr>
          <w:instrText xml:space="preserve"> PAGEREF _Toc242566360 \h </w:instrText>
        </w:r>
        <w:r>
          <w:rPr>
            <w:noProof/>
            <w:webHidden/>
          </w:rPr>
        </w:r>
        <w:r>
          <w:rPr>
            <w:noProof/>
            <w:webHidden/>
          </w:rPr>
          <w:fldChar w:fldCharType="separate"/>
        </w:r>
        <w:r>
          <w:rPr>
            <w:noProof/>
            <w:webHidden/>
          </w:rPr>
          <w:t>8</w:t>
        </w:r>
        <w:r>
          <w:rPr>
            <w:noProof/>
            <w:webHidden/>
          </w:rPr>
          <w:fldChar w:fldCharType="end"/>
        </w:r>
      </w:hyperlink>
    </w:p>
    <w:p w14:paraId="38FFE50B" w14:textId="23A0EEBC"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61" w:history="1">
        <w:r w:rsidRPr="0019651D">
          <w:rPr>
            <w:rStyle w:val="affa"/>
            <w:noProof/>
          </w:rPr>
          <w:t>(</w:t>
        </w:r>
        <w:r w:rsidRPr="0019651D">
          <w:rPr>
            <w:rStyle w:val="affa"/>
            <w:noProof/>
          </w:rPr>
          <w:t>四</w:t>
        </w:r>
        <w:r w:rsidRPr="0019651D">
          <w:rPr>
            <w:rStyle w:val="affa"/>
            <w:noProof/>
          </w:rPr>
          <w:t>) InfluxDB</w:t>
        </w:r>
        <w:r w:rsidRPr="0019651D">
          <w:rPr>
            <w:rStyle w:val="affa"/>
            <w:noProof/>
          </w:rPr>
          <w:t>時序資料庫與本地暫存</w:t>
        </w:r>
        <w:r>
          <w:rPr>
            <w:noProof/>
            <w:webHidden/>
          </w:rPr>
          <w:tab/>
        </w:r>
        <w:r>
          <w:rPr>
            <w:noProof/>
            <w:webHidden/>
          </w:rPr>
          <w:fldChar w:fldCharType="begin"/>
        </w:r>
        <w:r>
          <w:rPr>
            <w:noProof/>
            <w:webHidden/>
          </w:rPr>
          <w:instrText xml:space="preserve"> PAGEREF _Toc242566361 \h </w:instrText>
        </w:r>
        <w:r>
          <w:rPr>
            <w:noProof/>
            <w:webHidden/>
          </w:rPr>
        </w:r>
        <w:r>
          <w:rPr>
            <w:noProof/>
            <w:webHidden/>
          </w:rPr>
          <w:fldChar w:fldCharType="separate"/>
        </w:r>
        <w:r>
          <w:rPr>
            <w:noProof/>
            <w:webHidden/>
          </w:rPr>
          <w:t>8</w:t>
        </w:r>
        <w:r>
          <w:rPr>
            <w:noProof/>
            <w:webHidden/>
          </w:rPr>
          <w:fldChar w:fldCharType="end"/>
        </w:r>
      </w:hyperlink>
    </w:p>
    <w:p w14:paraId="4C02A452" w14:textId="664DD1AB"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62" w:history="1">
        <w:r w:rsidRPr="0019651D">
          <w:rPr>
            <w:rStyle w:val="affa"/>
            <w:noProof/>
          </w:rPr>
          <w:t>四、系統架構</w:t>
        </w:r>
        <w:r>
          <w:rPr>
            <w:noProof/>
            <w:webHidden/>
          </w:rPr>
          <w:tab/>
        </w:r>
        <w:r>
          <w:rPr>
            <w:noProof/>
            <w:webHidden/>
          </w:rPr>
          <w:fldChar w:fldCharType="begin"/>
        </w:r>
        <w:r>
          <w:rPr>
            <w:noProof/>
            <w:webHidden/>
          </w:rPr>
          <w:instrText xml:space="preserve"> PAGEREF _Toc242566362 \h </w:instrText>
        </w:r>
        <w:r>
          <w:rPr>
            <w:noProof/>
            <w:webHidden/>
          </w:rPr>
        </w:r>
        <w:r>
          <w:rPr>
            <w:noProof/>
            <w:webHidden/>
          </w:rPr>
          <w:fldChar w:fldCharType="separate"/>
        </w:r>
        <w:r>
          <w:rPr>
            <w:noProof/>
            <w:webHidden/>
          </w:rPr>
          <w:t>9</w:t>
        </w:r>
        <w:r>
          <w:rPr>
            <w:noProof/>
            <w:webHidden/>
          </w:rPr>
          <w:fldChar w:fldCharType="end"/>
        </w:r>
      </w:hyperlink>
    </w:p>
    <w:p w14:paraId="1C66C904" w14:textId="64F7AC7C"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63" w:history="1">
        <w:r w:rsidRPr="0019651D">
          <w:rPr>
            <w:rStyle w:val="affa"/>
            <w:noProof/>
          </w:rPr>
          <w:t>(</w:t>
        </w:r>
        <w:r w:rsidRPr="0019651D">
          <w:rPr>
            <w:rStyle w:val="affa"/>
            <w:noProof/>
          </w:rPr>
          <w:t>一</w:t>
        </w:r>
        <w:r w:rsidRPr="0019651D">
          <w:rPr>
            <w:rStyle w:val="affa"/>
            <w:noProof/>
          </w:rPr>
          <w:t xml:space="preserve">) </w:t>
        </w:r>
        <w:r w:rsidRPr="0019651D">
          <w:rPr>
            <w:rStyle w:val="affa"/>
            <w:noProof/>
          </w:rPr>
          <w:t>感測器數據擷取</w:t>
        </w:r>
        <w:r>
          <w:rPr>
            <w:noProof/>
            <w:webHidden/>
          </w:rPr>
          <w:tab/>
        </w:r>
        <w:r>
          <w:rPr>
            <w:noProof/>
            <w:webHidden/>
          </w:rPr>
          <w:fldChar w:fldCharType="begin"/>
        </w:r>
        <w:r>
          <w:rPr>
            <w:noProof/>
            <w:webHidden/>
          </w:rPr>
          <w:instrText xml:space="preserve"> PAGEREF _Toc242566363 \h </w:instrText>
        </w:r>
        <w:r>
          <w:rPr>
            <w:noProof/>
            <w:webHidden/>
          </w:rPr>
        </w:r>
        <w:r>
          <w:rPr>
            <w:noProof/>
            <w:webHidden/>
          </w:rPr>
          <w:fldChar w:fldCharType="separate"/>
        </w:r>
        <w:r>
          <w:rPr>
            <w:noProof/>
            <w:webHidden/>
          </w:rPr>
          <w:t>9</w:t>
        </w:r>
        <w:r>
          <w:rPr>
            <w:noProof/>
            <w:webHidden/>
          </w:rPr>
          <w:fldChar w:fldCharType="end"/>
        </w:r>
      </w:hyperlink>
    </w:p>
    <w:p w14:paraId="2E3A4F28" w14:textId="15BE885D"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64" w:history="1">
        <w:r w:rsidRPr="0019651D">
          <w:rPr>
            <w:rStyle w:val="affa"/>
            <w:noProof/>
          </w:rPr>
          <w:t>(</w:t>
        </w:r>
        <w:r w:rsidRPr="0019651D">
          <w:rPr>
            <w:rStyle w:val="affa"/>
            <w:noProof/>
          </w:rPr>
          <w:t>二</w:t>
        </w:r>
        <w:r w:rsidRPr="0019651D">
          <w:rPr>
            <w:rStyle w:val="affa"/>
            <w:noProof/>
          </w:rPr>
          <w:t xml:space="preserve">) </w:t>
        </w:r>
        <w:r w:rsidRPr="0019651D">
          <w:rPr>
            <w:rStyle w:val="affa"/>
            <w:noProof/>
          </w:rPr>
          <w:t>邊緣運算端</w:t>
        </w:r>
        <w:r w:rsidRPr="0019651D">
          <w:rPr>
            <w:rStyle w:val="affa"/>
            <w:noProof/>
          </w:rPr>
          <w:t>AI</w:t>
        </w:r>
        <w:r w:rsidRPr="0019651D">
          <w:rPr>
            <w:rStyle w:val="affa"/>
            <w:noProof/>
          </w:rPr>
          <w:t>異常檢測</w:t>
        </w:r>
        <w:r>
          <w:rPr>
            <w:noProof/>
            <w:webHidden/>
          </w:rPr>
          <w:tab/>
        </w:r>
        <w:r>
          <w:rPr>
            <w:noProof/>
            <w:webHidden/>
          </w:rPr>
          <w:fldChar w:fldCharType="begin"/>
        </w:r>
        <w:r>
          <w:rPr>
            <w:noProof/>
            <w:webHidden/>
          </w:rPr>
          <w:instrText xml:space="preserve"> PAGEREF _Toc242566364 \h </w:instrText>
        </w:r>
        <w:r>
          <w:rPr>
            <w:noProof/>
            <w:webHidden/>
          </w:rPr>
        </w:r>
        <w:r>
          <w:rPr>
            <w:noProof/>
            <w:webHidden/>
          </w:rPr>
          <w:fldChar w:fldCharType="separate"/>
        </w:r>
        <w:r>
          <w:rPr>
            <w:noProof/>
            <w:webHidden/>
          </w:rPr>
          <w:t>10</w:t>
        </w:r>
        <w:r>
          <w:rPr>
            <w:noProof/>
            <w:webHidden/>
          </w:rPr>
          <w:fldChar w:fldCharType="end"/>
        </w:r>
      </w:hyperlink>
    </w:p>
    <w:p w14:paraId="0DFB8DEC" w14:textId="1C4A62C6"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65" w:history="1">
        <w:r w:rsidRPr="0019651D">
          <w:rPr>
            <w:rStyle w:val="affa"/>
            <w:noProof/>
          </w:rPr>
          <w:t>(</w:t>
        </w:r>
        <w:r w:rsidRPr="0019651D">
          <w:rPr>
            <w:rStyle w:val="affa"/>
            <w:noProof/>
          </w:rPr>
          <w:t>三</w:t>
        </w:r>
        <w:r w:rsidRPr="0019651D">
          <w:rPr>
            <w:rStyle w:val="affa"/>
            <w:noProof/>
          </w:rPr>
          <w:t xml:space="preserve">) </w:t>
        </w:r>
        <w:r w:rsidRPr="0019651D">
          <w:rPr>
            <w:rStyle w:val="affa"/>
            <w:noProof/>
          </w:rPr>
          <w:t>設備與伺服器的</w:t>
        </w:r>
        <w:r w:rsidRPr="0019651D">
          <w:rPr>
            <w:rStyle w:val="affa"/>
            <w:noProof/>
          </w:rPr>
          <w:t>MQTT Wi-Fi</w:t>
        </w:r>
        <w:r w:rsidRPr="0019651D">
          <w:rPr>
            <w:rStyle w:val="affa"/>
            <w:noProof/>
          </w:rPr>
          <w:t>通訊</w:t>
        </w:r>
        <w:r>
          <w:rPr>
            <w:noProof/>
            <w:webHidden/>
          </w:rPr>
          <w:tab/>
        </w:r>
        <w:r>
          <w:rPr>
            <w:noProof/>
            <w:webHidden/>
          </w:rPr>
          <w:fldChar w:fldCharType="begin"/>
        </w:r>
        <w:r>
          <w:rPr>
            <w:noProof/>
            <w:webHidden/>
          </w:rPr>
          <w:instrText xml:space="preserve"> PAGEREF _Toc242566365 \h </w:instrText>
        </w:r>
        <w:r>
          <w:rPr>
            <w:noProof/>
            <w:webHidden/>
          </w:rPr>
        </w:r>
        <w:r>
          <w:rPr>
            <w:noProof/>
            <w:webHidden/>
          </w:rPr>
          <w:fldChar w:fldCharType="separate"/>
        </w:r>
        <w:r>
          <w:rPr>
            <w:noProof/>
            <w:webHidden/>
          </w:rPr>
          <w:t>10</w:t>
        </w:r>
        <w:r>
          <w:rPr>
            <w:noProof/>
            <w:webHidden/>
          </w:rPr>
          <w:fldChar w:fldCharType="end"/>
        </w:r>
      </w:hyperlink>
    </w:p>
    <w:p w14:paraId="068048CA" w14:textId="04D9FFBF"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66" w:history="1">
        <w:r w:rsidRPr="0019651D">
          <w:rPr>
            <w:rStyle w:val="affa"/>
            <w:noProof/>
          </w:rPr>
          <w:t>(</w:t>
        </w:r>
        <w:r w:rsidRPr="0019651D">
          <w:rPr>
            <w:rStyle w:val="affa"/>
            <w:noProof/>
          </w:rPr>
          <w:t>四</w:t>
        </w:r>
        <w:r w:rsidRPr="0019651D">
          <w:rPr>
            <w:rStyle w:val="affa"/>
            <w:noProof/>
          </w:rPr>
          <w:t xml:space="preserve">) </w:t>
        </w:r>
        <w:r w:rsidRPr="0019651D">
          <w:rPr>
            <w:rStyle w:val="affa"/>
            <w:noProof/>
          </w:rPr>
          <w:t>異常預警觸發機制</w:t>
        </w:r>
        <w:r>
          <w:rPr>
            <w:noProof/>
            <w:webHidden/>
          </w:rPr>
          <w:tab/>
        </w:r>
        <w:r>
          <w:rPr>
            <w:noProof/>
            <w:webHidden/>
          </w:rPr>
          <w:fldChar w:fldCharType="begin"/>
        </w:r>
        <w:r>
          <w:rPr>
            <w:noProof/>
            <w:webHidden/>
          </w:rPr>
          <w:instrText xml:space="preserve"> PAGEREF _Toc242566366 \h </w:instrText>
        </w:r>
        <w:r>
          <w:rPr>
            <w:noProof/>
            <w:webHidden/>
          </w:rPr>
        </w:r>
        <w:r>
          <w:rPr>
            <w:noProof/>
            <w:webHidden/>
          </w:rPr>
          <w:fldChar w:fldCharType="separate"/>
        </w:r>
        <w:r>
          <w:rPr>
            <w:noProof/>
            <w:webHidden/>
          </w:rPr>
          <w:t>10</w:t>
        </w:r>
        <w:r>
          <w:rPr>
            <w:noProof/>
            <w:webHidden/>
          </w:rPr>
          <w:fldChar w:fldCharType="end"/>
        </w:r>
      </w:hyperlink>
    </w:p>
    <w:p w14:paraId="02752DC0" w14:textId="1D97E7A6"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67" w:history="1">
        <w:r w:rsidRPr="0019651D">
          <w:rPr>
            <w:rStyle w:val="affa"/>
            <w:noProof/>
          </w:rPr>
          <w:t>五、偵測流程</w:t>
        </w:r>
        <w:r>
          <w:rPr>
            <w:noProof/>
            <w:webHidden/>
          </w:rPr>
          <w:tab/>
        </w:r>
        <w:r>
          <w:rPr>
            <w:noProof/>
            <w:webHidden/>
          </w:rPr>
          <w:fldChar w:fldCharType="begin"/>
        </w:r>
        <w:r>
          <w:rPr>
            <w:noProof/>
            <w:webHidden/>
          </w:rPr>
          <w:instrText xml:space="preserve"> PAGEREF _Toc242566367 \h </w:instrText>
        </w:r>
        <w:r>
          <w:rPr>
            <w:noProof/>
            <w:webHidden/>
          </w:rPr>
        </w:r>
        <w:r>
          <w:rPr>
            <w:noProof/>
            <w:webHidden/>
          </w:rPr>
          <w:fldChar w:fldCharType="separate"/>
        </w:r>
        <w:r>
          <w:rPr>
            <w:noProof/>
            <w:webHidden/>
          </w:rPr>
          <w:t>11</w:t>
        </w:r>
        <w:r>
          <w:rPr>
            <w:noProof/>
            <w:webHidden/>
          </w:rPr>
          <w:fldChar w:fldCharType="end"/>
        </w:r>
      </w:hyperlink>
    </w:p>
    <w:p w14:paraId="6468D359" w14:textId="47E83F84"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68" w:history="1">
        <w:r w:rsidRPr="0019651D">
          <w:rPr>
            <w:rStyle w:val="affa"/>
            <w:noProof/>
          </w:rPr>
          <w:t>(</w:t>
        </w:r>
        <w:r w:rsidRPr="0019651D">
          <w:rPr>
            <w:rStyle w:val="affa"/>
            <w:noProof/>
          </w:rPr>
          <w:t>一</w:t>
        </w:r>
        <w:r w:rsidRPr="0019651D">
          <w:rPr>
            <w:rStyle w:val="affa"/>
            <w:noProof/>
          </w:rPr>
          <w:t xml:space="preserve">) </w:t>
        </w:r>
        <w:r w:rsidRPr="0019651D">
          <w:rPr>
            <w:rStyle w:val="affa"/>
            <w:noProof/>
          </w:rPr>
          <w:t>跨工況多模態特徵定義</w:t>
        </w:r>
        <w:r>
          <w:rPr>
            <w:noProof/>
            <w:webHidden/>
          </w:rPr>
          <w:tab/>
        </w:r>
        <w:r>
          <w:rPr>
            <w:noProof/>
            <w:webHidden/>
          </w:rPr>
          <w:fldChar w:fldCharType="begin"/>
        </w:r>
        <w:r>
          <w:rPr>
            <w:noProof/>
            <w:webHidden/>
          </w:rPr>
          <w:instrText xml:space="preserve"> PAGEREF _Toc242566368 \h </w:instrText>
        </w:r>
        <w:r>
          <w:rPr>
            <w:noProof/>
            <w:webHidden/>
          </w:rPr>
        </w:r>
        <w:r>
          <w:rPr>
            <w:noProof/>
            <w:webHidden/>
          </w:rPr>
          <w:fldChar w:fldCharType="separate"/>
        </w:r>
        <w:r>
          <w:rPr>
            <w:noProof/>
            <w:webHidden/>
          </w:rPr>
          <w:t>11</w:t>
        </w:r>
        <w:r>
          <w:rPr>
            <w:noProof/>
            <w:webHidden/>
          </w:rPr>
          <w:fldChar w:fldCharType="end"/>
        </w:r>
      </w:hyperlink>
    </w:p>
    <w:p w14:paraId="2480EACE" w14:textId="3AEAAFDE"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69" w:history="1">
        <w:r w:rsidRPr="0019651D">
          <w:rPr>
            <w:rStyle w:val="affa"/>
            <w:noProof/>
          </w:rPr>
          <w:t>(</w:t>
        </w:r>
        <w:r w:rsidRPr="0019651D">
          <w:rPr>
            <w:rStyle w:val="affa"/>
            <w:noProof/>
          </w:rPr>
          <w:t>二</w:t>
        </w:r>
        <w:r w:rsidRPr="0019651D">
          <w:rPr>
            <w:rStyle w:val="affa"/>
            <w:noProof/>
          </w:rPr>
          <w:t xml:space="preserve">) </w:t>
        </w:r>
        <w:r w:rsidRPr="0019651D">
          <w:rPr>
            <w:rStyle w:val="affa"/>
            <w:noProof/>
          </w:rPr>
          <w:t>異常狀態偵測與判斷</w:t>
        </w:r>
        <w:r>
          <w:rPr>
            <w:noProof/>
            <w:webHidden/>
          </w:rPr>
          <w:tab/>
        </w:r>
        <w:r>
          <w:rPr>
            <w:noProof/>
            <w:webHidden/>
          </w:rPr>
          <w:fldChar w:fldCharType="begin"/>
        </w:r>
        <w:r>
          <w:rPr>
            <w:noProof/>
            <w:webHidden/>
          </w:rPr>
          <w:instrText xml:space="preserve"> PAGEREF _Toc242566369 \h </w:instrText>
        </w:r>
        <w:r>
          <w:rPr>
            <w:noProof/>
            <w:webHidden/>
          </w:rPr>
        </w:r>
        <w:r>
          <w:rPr>
            <w:noProof/>
            <w:webHidden/>
          </w:rPr>
          <w:fldChar w:fldCharType="separate"/>
        </w:r>
        <w:r>
          <w:rPr>
            <w:noProof/>
            <w:webHidden/>
          </w:rPr>
          <w:t>13</w:t>
        </w:r>
        <w:r>
          <w:rPr>
            <w:noProof/>
            <w:webHidden/>
          </w:rPr>
          <w:fldChar w:fldCharType="end"/>
        </w:r>
      </w:hyperlink>
    </w:p>
    <w:p w14:paraId="00BCB9C8" w14:textId="68102DFF"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70" w:history="1">
        <w:r w:rsidRPr="0019651D">
          <w:rPr>
            <w:rStyle w:val="affa"/>
            <w:noProof/>
          </w:rPr>
          <w:t>六、系統介面</w:t>
        </w:r>
        <w:r w:rsidRPr="0019651D">
          <w:rPr>
            <w:rStyle w:val="affa"/>
            <w:noProof/>
          </w:rPr>
          <w:t>/</w:t>
        </w:r>
        <w:r w:rsidRPr="0019651D">
          <w:rPr>
            <w:rStyle w:val="affa"/>
            <w:noProof/>
          </w:rPr>
          <w:t>儀表板簡介</w:t>
        </w:r>
        <w:r>
          <w:rPr>
            <w:noProof/>
            <w:webHidden/>
          </w:rPr>
          <w:tab/>
        </w:r>
        <w:r>
          <w:rPr>
            <w:noProof/>
            <w:webHidden/>
          </w:rPr>
          <w:fldChar w:fldCharType="begin"/>
        </w:r>
        <w:r>
          <w:rPr>
            <w:noProof/>
            <w:webHidden/>
          </w:rPr>
          <w:instrText xml:space="preserve"> PAGEREF _Toc242566370 \h </w:instrText>
        </w:r>
        <w:r>
          <w:rPr>
            <w:noProof/>
            <w:webHidden/>
          </w:rPr>
        </w:r>
        <w:r>
          <w:rPr>
            <w:noProof/>
            <w:webHidden/>
          </w:rPr>
          <w:fldChar w:fldCharType="separate"/>
        </w:r>
        <w:r>
          <w:rPr>
            <w:noProof/>
            <w:webHidden/>
          </w:rPr>
          <w:t>14</w:t>
        </w:r>
        <w:r>
          <w:rPr>
            <w:noProof/>
            <w:webHidden/>
          </w:rPr>
          <w:fldChar w:fldCharType="end"/>
        </w:r>
      </w:hyperlink>
    </w:p>
    <w:p w14:paraId="632FD212" w14:textId="4D061BD1"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71" w:history="1">
        <w:r w:rsidRPr="0019651D">
          <w:rPr>
            <w:rStyle w:val="affa"/>
            <w:noProof/>
          </w:rPr>
          <w:t>(</w:t>
        </w:r>
        <w:r w:rsidRPr="0019651D">
          <w:rPr>
            <w:rStyle w:val="affa"/>
            <w:noProof/>
          </w:rPr>
          <w:t>一</w:t>
        </w:r>
        <w:r w:rsidRPr="0019651D">
          <w:rPr>
            <w:rStyle w:val="affa"/>
            <w:noProof/>
          </w:rPr>
          <w:t xml:space="preserve">) </w:t>
        </w:r>
        <w:r w:rsidRPr="0019651D">
          <w:rPr>
            <w:rStyle w:val="affa"/>
            <w:noProof/>
          </w:rPr>
          <w:t>設備健康度即時掃描與顯示</w:t>
        </w:r>
        <w:r>
          <w:rPr>
            <w:noProof/>
            <w:webHidden/>
          </w:rPr>
          <w:tab/>
        </w:r>
        <w:r>
          <w:rPr>
            <w:noProof/>
            <w:webHidden/>
          </w:rPr>
          <w:fldChar w:fldCharType="begin"/>
        </w:r>
        <w:r>
          <w:rPr>
            <w:noProof/>
            <w:webHidden/>
          </w:rPr>
          <w:instrText xml:space="preserve"> PAGEREF _Toc242566371 \h </w:instrText>
        </w:r>
        <w:r>
          <w:rPr>
            <w:noProof/>
            <w:webHidden/>
          </w:rPr>
        </w:r>
        <w:r>
          <w:rPr>
            <w:noProof/>
            <w:webHidden/>
          </w:rPr>
          <w:fldChar w:fldCharType="separate"/>
        </w:r>
        <w:r>
          <w:rPr>
            <w:noProof/>
            <w:webHidden/>
          </w:rPr>
          <w:t>14</w:t>
        </w:r>
        <w:r>
          <w:rPr>
            <w:noProof/>
            <w:webHidden/>
          </w:rPr>
          <w:fldChar w:fldCharType="end"/>
        </w:r>
      </w:hyperlink>
    </w:p>
    <w:p w14:paraId="3C9AE105" w14:textId="27FED223"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72" w:history="1">
        <w:r w:rsidRPr="0019651D">
          <w:rPr>
            <w:rStyle w:val="affa"/>
            <w:noProof/>
          </w:rPr>
          <w:t>(</w:t>
        </w:r>
        <w:r w:rsidRPr="0019651D">
          <w:rPr>
            <w:rStyle w:val="affa"/>
            <w:noProof/>
          </w:rPr>
          <w:t>二</w:t>
        </w:r>
        <w:r w:rsidRPr="0019651D">
          <w:rPr>
            <w:rStyle w:val="affa"/>
            <w:noProof/>
          </w:rPr>
          <w:t xml:space="preserve">) </w:t>
        </w:r>
        <w:r w:rsidRPr="0019651D">
          <w:rPr>
            <w:rStyle w:val="affa"/>
            <w:noProof/>
          </w:rPr>
          <w:t>主畫面和預警說明</w:t>
        </w:r>
        <w:r>
          <w:rPr>
            <w:noProof/>
            <w:webHidden/>
          </w:rPr>
          <w:tab/>
        </w:r>
        <w:r>
          <w:rPr>
            <w:noProof/>
            <w:webHidden/>
          </w:rPr>
          <w:fldChar w:fldCharType="begin"/>
        </w:r>
        <w:r>
          <w:rPr>
            <w:noProof/>
            <w:webHidden/>
          </w:rPr>
          <w:instrText xml:space="preserve"> PAGEREF _Toc242566372 \h </w:instrText>
        </w:r>
        <w:r>
          <w:rPr>
            <w:noProof/>
            <w:webHidden/>
          </w:rPr>
        </w:r>
        <w:r>
          <w:rPr>
            <w:noProof/>
            <w:webHidden/>
          </w:rPr>
          <w:fldChar w:fldCharType="separate"/>
        </w:r>
        <w:r>
          <w:rPr>
            <w:noProof/>
            <w:webHidden/>
          </w:rPr>
          <w:t>15</w:t>
        </w:r>
        <w:r>
          <w:rPr>
            <w:noProof/>
            <w:webHidden/>
          </w:rPr>
          <w:fldChar w:fldCharType="end"/>
        </w:r>
      </w:hyperlink>
    </w:p>
    <w:p w14:paraId="1CB75203" w14:textId="54734980" w:rsidR="001C77D0" w:rsidRDefault="001C77D0">
      <w:pPr>
        <w:pStyle w:val="38"/>
        <w:tabs>
          <w:tab w:val="right" w:leader="dot" w:pos="9174"/>
        </w:tabs>
        <w:rPr>
          <w:rFonts w:asciiTheme="minorHAnsi" w:eastAsiaTheme="minorEastAsia" w:hAnsiTheme="minorHAnsi"/>
          <w:noProof/>
          <w:color w:val="auto"/>
          <w:kern w:val="2"/>
          <w:szCs w:val="24"/>
          <w14:ligatures w14:val="standardContextual"/>
        </w:rPr>
      </w:pPr>
      <w:hyperlink w:anchor="_Toc242566373" w:history="1">
        <w:r w:rsidRPr="0019651D">
          <w:rPr>
            <w:rStyle w:val="affa"/>
            <w:noProof/>
          </w:rPr>
          <w:t>(</w:t>
        </w:r>
        <w:r w:rsidRPr="0019651D">
          <w:rPr>
            <w:rStyle w:val="affa"/>
            <w:noProof/>
          </w:rPr>
          <w:t>三</w:t>
        </w:r>
        <w:r w:rsidRPr="0019651D">
          <w:rPr>
            <w:rStyle w:val="affa"/>
            <w:noProof/>
          </w:rPr>
          <w:t xml:space="preserve">) </w:t>
        </w:r>
        <w:r w:rsidRPr="0019651D">
          <w:rPr>
            <w:rStyle w:val="affa"/>
            <w:noProof/>
          </w:rPr>
          <w:t>工況參數設定畫面</w:t>
        </w:r>
        <w:r>
          <w:rPr>
            <w:noProof/>
            <w:webHidden/>
          </w:rPr>
          <w:tab/>
        </w:r>
        <w:r>
          <w:rPr>
            <w:noProof/>
            <w:webHidden/>
          </w:rPr>
          <w:fldChar w:fldCharType="begin"/>
        </w:r>
        <w:r>
          <w:rPr>
            <w:noProof/>
            <w:webHidden/>
          </w:rPr>
          <w:instrText xml:space="preserve"> PAGEREF _Toc242566373 \h </w:instrText>
        </w:r>
        <w:r>
          <w:rPr>
            <w:noProof/>
            <w:webHidden/>
          </w:rPr>
        </w:r>
        <w:r>
          <w:rPr>
            <w:noProof/>
            <w:webHidden/>
          </w:rPr>
          <w:fldChar w:fldCharType="separate"/>
        </w:r>
        <w:r>
          <w:rPr>
            <w:noProof/>
            <w:webHidden/>
          </w:rPr>
          <w:t>15</w:t>
        </w:r>
        <w:r>
          <w:rPr>
            <w:noProof/>
            <w:webHidden/>
          </w:rPr>
          <w:fldChar w:fldCharType="end"/>
        </w:r>
      </w:hyperlink>
    </w:p>
    <w:p w14:paraId="3FD204B9" w14:textId="1C07F53E" w:rsidR="001C77D0" w:rsidRDefault="001C77D0">
      <w:pPr>
        <w:pStyle w:val="14"/>
        <w:tabs>
          <w:tab w:val="right" w:leader="dot" w:pos="9174"/>
        </w:tabs>
        <w:rPr>
          <w:rFonts w:asciiTheme="minorHAnsi" w:eastAsiaTheme="minorEastAsia" w:hAnsiTheme="minorHAnsi"/>
          <w:noProof/>
          <w:color w:val="auto"/>
          <w:kern w:val="2"/>
          <w:szCs w:val="24"/>
          <w14:ligatures w14:val="standardContextual"/>
        </w:rPr>
      </w:pPr>
      <w:hyperlink w:anchor="_Toc242566374" w:history="1">
        <w:r w:rsidRPr="0019651D">
          <w:rPr>
            <w:rStyle w:val="affa"/>
            <w:noProof/>
          </w:rPr>
          <w:t>伍、研究結果</w:t>
        </w:r>
        <w:r>
          <w:rPr>
            <w:noProof/>
            <w:webHidden/>
          </w:rPr>
          <w:tab/>
        </w:r>
        <w:r>
          <w:rPr>
            <w:noProof/>
            <w:webHidden/>
          </w:rPr>
          <w:fldChar w:fldCharType="begin"/>
        </w:r>
        <w:r>
          <w:rPr>
            <w:noProof/>
            <w:webHidden/>
          </w:rPr>
          <w:instrText xml:space="preserve"> PAGEREF _Toc242566374 \h </w:instrText>
        </w:r>
        <w:r>
          <w:rPr>
            <w:noProof/>
            <w:webHidden/>
          </w:rPr>
        </w:r>
        <w:r>
          <w:rPr>
            <w:noProof/>
            <w:webHidden/>
          </w:rPr>
          <w:fldChar w:fldCharType="separate"/>
        </w:r>
        <w:r>
          <w:rPr>
            <w:noProof/>
            <w:webHidden/>
          </w:rPr>
          <w:t>17</w:t>
        </w:r>
        <w:r>
          <w:rPr>
            <w:noProof/>
            <w:webHidden/>
          </w:rPr>
          <w:fldChar w:fldCharType="end"/>
        </w:r>
      </w:hyperlink>
    </w:p>
    <w:p w14:paraId="770BF98E" w14:textId="640F26F6"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75" w:history="1">
        <w:r w:rsidRPr="0019651D">
          <w:rPr>
            <w:rStyle w:val="affa"/>
            <w:noProof/>
          </w:rPr>
          <w:t>一、專題流程</w:t>
        </w:r>
        <w:r>
          <w:rPr>
            <w:noProof/>
            <w:webHidden/>
          </w:rPr>
          <w:tab/>
        </w:r>
        <w:r>
          <w:rPr>
            <w:noProof/>
            <w:webHidden/>
          </w:rPr>
          <w:fldChar w:fldCharType="begin"/>
        </w:r>
        <w:r>
          <w:rPr>
            <w:noProof/>
            <w:webHidden/>
          </w:rPr>
          <w:instrText xml:space="preserve"> PAGEREF _Toc242566375 \h </w:instrText>
        </w:r>
        <w:r>
          <w:rPr>
            <w:noProof/>
            <w:webHidden/>
          </w:rPr>
        </w:r>
        <w:r>
          <w:rPr>
            <w:noProof/>
            <w:webHidden/>
          </w:rPr>
          <w:fldChar w:fldCharType="separate"/>
        </w:r>
        <w:r>
          <w:rPr>
            <w:noProof/>
            <w:webHidden/>
          </w:rPr>
          <w:t>17</w:t>
        </w:r>
        <w:r>
          <w:rPr>
            <w:noProof/>
            <w:webHidden/>
          </w:rPr>
          <w:fldChar w:fldCharType="end"/>
        </w:r>
      </w:hyperlink>
    </w:p>
    <w:p w14:paraId="2171C050" w14:textId="79B66C17"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76" w:history="1">
        <w:r w:rsidRPr="0019651D">
          <w:rPr>
            <w:rStyle w:val="affa"/>
            <w:noProof/>
          </w:rPr>
          <w:t>二、成品展示</w:t>
        </w:r>
        <w:r>
          <w:rPr>
            <w:noProof/>
            <w:webHidden/>
          </w:rPr>
          <w:tab/>
        </w:r>
        <w:r>
          <w:rPr>
            <w:noProof/>
            <w:webHidden/>
          </w:rPr>
          <w:fldChar w:fldCharType="begin"/>
        </w:r>
        <w:r>
          <w:rPr>
            <w:noProof/>
            <w:webHidden/>
          </w:rPr>
          <w:instrText xml:space="preserve"> PAGEREF _Toc242566376 \h </w:instrText>
        </w:r>
        <w:r>
          <w:rPr>
            <w:noProof/>
            <w:webHidden/>
          </w:rPr>
        </w:r>
        <w:r>
          <w:rPr>
            <w:noProof/>
            <w:webHidden/>
          </w:rPr>
          <w:fldChar w:fldCharType="separate"/>
        </w:r>
        <w:r>
          <w:rPr>
            <w:noProof/>
            <w:webHidden/>
          </w:rPr>
          <w:t>18</w:t>
        </w:r>
        <w:r>
          <w:rPr>
            <w:noProof/>
            <w:webHidden/>
          </w:rPr>
          <w:fldChar w:fldCharType="end"/>
        </w:r>
      </w:hyperlink>
    </w:p>
    <w:p w14:paraId="23EB7D21" w14:textId="326EBC2A" w:rsidR="001C77D0" w:rsidRDefault="001C77D0">
      <w:pPr>
        <w:pStyle w:val="14"/>
        <w:tabs>
          <w:tab w:val="right" w:leader="dot" w:pos="9174"/>
        </w:tabs>
        <w:rPr>
          <w:rFonts w:asciiTheme="minorHAnsi" w:eastAsiaTheme="minorEastAsia" w:hAnsiTheme="minorHAnsi"/>
          <w:noProof/>
          <w:color w:val="auto"/>
          <w:kern w:val="2"/>
          <w:szCs w:val="24"/>
          <w14:ligatures w14:val="standardContextual"/>
        </w:rPr>
      </w:pPr>
      <w:hyperlink w:anchor="_Toc242566377" w:history="1">
        <w:r w:rsidRPr="0019651D">
          <w:rPr>
            <w:rStyle w:val="affa"/>
            <w:noProof/>
          </w:rPr>
          <w:t>陸、討論</w:t>
        </w:r>
        <w:r>
          <w:rPr>
            <w:noProof/>
            <w:webHidden/>
          </w:rPr>
          <w:tab/>
        </w:r>
        <w:r>
          <w:rPr>
            <w:noProof/>
            <w:webHidden/>
          </w:rPr>
          <w:fldChar w:fldCharType="begin"/>
        </w:r>
        <w:r>
          <w:rPr>
            <w:noProof/>
            <w:webHidden/>
          </w:rPr>
          <w:instrText xml:space="preserve"> PAGEREF _Toc242566377 \h </w:instrText>
        </w:r>
        <w:r>
          <w:rPr>
            <w:noProof/>
            <w:webHidden/>
          </w:rPr>
        </w:r>
        <w:r>
          <w:rPr>
            <w:noProof/>
            <w:webHidden/>
          </w:rPr>
          <w:fldChar w:fldCharType="separate"/>
        </w:r>
        <w:r>
          <w:rPr>
            <w:noProof/>
            <w:webHidden/>
          </w:rPr>
          <w:t>20</w:t>
        </w:r>
        <w:r>
          <w:rPr>
            <w:noProof/>
            <w:webHidden/>
          </w:rPr>
          <w:fldChar w:fldCharType="end"/>
        </w:r>
      </w:hyperlink>
    </w:p>
    <w:p w14:paraId="1C2C1A15" w14:textId="639D1C25"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78" w:history="1">
        <w:r w:rsidRPr="0019651D">
          <w:rPr>
            <w:rStyle w:val="affa"/>
            <w:noProof/>
          </w:rPr>
          <w:t>一、感測器選用與雜訊問題</w:t>
        </w:r>
        <w:r>
          <w:rPr>
            <w:noProof/>
            <w:webHidden/>
          </w:rPr>
          <w:tab/>
        </w:r>
        <w:r>
          <w:rPr>
            <w:noProof/>
            <w:webHidden/>
          </w:rPr>
          <w:fldChar w:fldCharType="begin"/>
        </w:r>
        <w:r>
          <w:rPr>
            <w:noProof/>
            <w:webHidden/>
          </w:rPr>
          <w:instrText xml:space="preserve"> PAGEREF _Toc242566378 \h </w:instrText>
        </w:r>
        <w:r>
          <w:rPr>
            <w:noProof/>
            <w:webHidden/>
          </w:rPr>
        </w:r>
        <w:r>
          <w:rPr>
            <w:noProof/>
            <w:webHidden/>
          </w:rPr>
          <w:fldChar w:fldCharType="separate"/>
        </w:r>
        <w:r>
          <w:rPr>
            <w:noProof/>
            <w:webHidden/>
          </w:rPr>
          <w:t>20</w:t>
        </w:r>
        <w:r>
          <w:rPr>
            <w:noProof/>
            <w:webHidden/>
          </w:rPr>
          <w:fldChar w:fldCharType="end"/>
        </w:r>
      </w:hyperlink>
    </w:p>
    <w:p w14:paraId="62F148DB" w14:textId="45215970"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79" w:history="1">
        <w:r w:rsidRPr="0019651D">
          <w:rPr>
            <w:rStyle w:val="affa"/>
            <w:noProof/>
          </w:rPr>
          <w:t>二、數據傳輸不穩定</w:t>
        </w:r>
        <w:r>
          <w:rPr>
            <w:noProof/>
            <w:webHidden/>
          </w:rPr>
          <w:tab/>
        </w:r>
        <w:r>
          <w:rPr>
            <w:noProof/>
            <w:webHidden/>
          </w:rPr>
          <w:fldChar w:fldCharType="begin"/>
        </w:r>
        <w:r>
          <w:rPr>
            <w:noProof/>
            <w:webHidden/>
          </w:rPr>
          <w:instrText xml:space="preserve"> PAGEREF _Toc242566379 \h </w:instrText>
        </w:r>
        <w:r>
          <w:rPr>
            <w:noProof/>
            <w:webHidden/>
          </w:rPr>
        </w:r>
        <w:r>
          <w:rPr>
            <w:noProof/>
            <w:webHidden/>
          </w:rPr>
          <w:fldChar w:fldCharType="separate"/>
        </w:r>
        <w:r>
          <w:rPr>
            <w:noProof/>
            <w:webHidden/>
          </w:rPr>
          <w:t>20</w:t>
        </w:r>
        <w:r>
          <w:rPr>
            <w:noProof/>
            <w:webHidden/>
          </w:rPr>
          <w:fldChar w:fldCharType="end"/>
        </w:r>
      </w:hyperlink>
    </w:p>
    <w:p w14:paraId="5D84E05C" w14:textId="29029A23"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80" w:history="1">
        <w:r w:rsidRPr="0019651D">
          <w:rPr>
            <w:rStyle w:val="affa"/>
            <w:noProof/>
          </w:rPr>
          <w:t>三、硬體架構與運算成本考量</w:t>
        </w:r>
        <w:r>
          <w:rPr>
            <w:noProof/>
            <w:webHidden/>
          </w:rPr>
          <w:tab/>
        </w:r>
        <w:r>
          <w:rPr>
            <w:noProof/>
            <w:webHidden/>
          </w:rPr>
          <w:fldChar w:fldCharType="begin"/>
        </w:r>
        <w:r>
          <w:rPr>
            <w:noProof/>
            <w:webHidden/>
          </w:rPr>
          <w:instrText xml:space="preserve"> PAGEREF _Toc242566380 \h </w:instrText>
        </w:r>
        <w:r>
          <w:rPr>
            <w:noProof/>
            <w:webHidden/>
          </w:rPr>
        </w:r>
        <w:r>
          <w:rPr>
            <w:noProof/>
            <w:webHidden/>
          </w:rPr>
          <w:fldChar w:fldCharType="separate"/>
        </w:r>
        <w:r>
          <w:rPr>
            <w:noProof/>
            <w:webHidden/>
          </w:rPr>
          <w:t>21</w:t>
        </w:r>
        <w:r>
          <w:rPr>
            <w:noProof/>
            <w:webHidden/>
          </w:rPr>
          <w:fldChar w:fldCharType="end"/>
        </w:r>
      </w:hyperlink>
    </w:p>
    <w:p w14:paraId="4DA00B5A" w14:textId="23556E88" w:rsidR="001C77D0" w:rsidRDefault="001C77D0">
      <w:pPr>
        <w:pStyle w:val="14"/>
        <w:tabs>
          <w:tab w:val="right" w:leader="dot" w:pos="9174"/>
        </w:tabs>
        <w:rPr>
          <w:rFonts w:asciiTheme="minorHAnsi" w:eastAsiaTheme="minorEastAsia" w:hAnsiTheme="minorHAnsi"/>
          <w:noProof/>
          <w:color w:val="auto"/>
          <w:kern w:val="2"/>
          <w:szCs w:val="24"/>
          <w14:ligatures w14:val="standardContextual"/>
        </w:rPr>
      </w:pPr>
      <w:hyperlink w:anchor="_Toc242566381" w:history="1">
        <w:r w:rsidRPr="0019651D">
          <w:rPr>
            <w:rStyle w:val="affa"/>
            <w:noProof/>
          </w:rPr>
          <w:t>柒、結論</w:t>
        </w:r>
        <w:r>
          <w:rPr>
            <w:noProof/>
            <w:webHidden/>
          </w:rPr>
          <w:tab/>
        </w:r>
        <w:r>
          <w:rPr>
            <w:noProof/>
            <w:webHidden/>
          </w:rPr>
          <w:fldChar w:fldCharType="begin"/>
        </w:r>
        <w:r>
          <w:rPr>
            <w:noProof/>
            <w:webHidden/>
          </w:rPr>
          <w:instrText xml:space="preserve"> PAGEREF _Toc242566381 \h </w:instrText>
        </w:r>
        <w:r>
          <w:rPr>
            <w:noProof/>
            <w:webHidden/>
          </w:rPr>
        </w:r>
        <w:r>
          <w:rPr>
            <w:noProof/>
            <w:webHidden/>
          </w:rPr>
          <w:fldChar w:fldCharType="separate"/>
        </w:r>
        <w:r>
          <w:rPr>
            <w:noProof/>
            <w:webHidden/>
          </w:rPr>
          <w:t>23</w:t>
        </w:r>
        <w:r>
          <w:rPr>
            <w:noProof/>
            <w:webHidden/>
          </w:rPr>
          <w:fldChar w:fldCharType="end"/>
        </w:r>
      </w:hyperlink>
    </w:p>
    <w:p w14:paraId="0FE0650C" w14:textId="416BB229" w:rsidR="001C77D0" w:rsidRDefault="001C77D0">
      <w:pPr>
        <w:pStyle w:val="14"/>
        <w:tabs>
          <w:tab w:val="right" w:leader="dot" w:pos="9174"/>
        </w:tabs>
        <w:rPr>
          <w:rFonts w:asciiTheme="minorHAnsi" w:eastAsiaTheme="minorEastAsia" w:hAnsiTheme="minorHAnsi"/>
          <w:noProof/>
          <w:color w:val="auto"/>
          <w:kern w:val="2"/>
          <w:szCs w:val="24"/>
          <w14:ligatures w14:val="standardContextual"/>
        </w:rPr>
      </w:pPr>
      <w:hyperlink w:anchor="_Toc242566382" w:history="1">
        <w:r w:rsidRPr="0019651D">
          <w:rPr>
            <w:rStyle w:val="affa"/>
            <w:noProof/>
          </w:rPr>
          <w:t>捌、參考資料及其他書籍</w:t>
        </w:r>
        <w:r>
          <w:rPr>
            <w:noProof/>
            <w:webHidden/>
          </w:rPr>
          <w:tab/>
        </w:r>
        <w:r>
          <w:rPr>
            <w:noProof/>
            <w:webHidden/>
          </w:rPr>
          <w:fldChar w:fldCharType="begin"/>
        </w:r>
        <w:r>
          <w:rPr>
            <w:noProof/>
            <w:webHidden/>
          </w:rPr>
          <w:instrText xml:space="preserve"> PAGEREF _Toc242566382 \h </w:instrText>
        </w:r>
        <w:r>
          <w:rPr>
            <w:noProof/>
            <w:webHidden/>
          </w:rPr>
        </w:r>
        <w:r>
          <w:rPr>
            <w:noProof/>
            <w:webHidden/>
          </w:rPr>
          <w:fldChar w:fldCharType="separate"/>
        </w:r>
        <w:r>
          <w:rPr>
            <w:noProof/>
            <w:webHidden/>
          </w:rPr>
          <w:t>24</w:t>
        </w:r>
        <w:r>
          <w:rPr>
            <w:noProof/>
            <w:webHidden/>
          </w:rPr>
          <w:fldChar w:fldCharType="end"/>
        </w:r>
      </w:hyperlink>
    </w:p>
    <w:p w14:paraId="2E913FAC" w14:textId="72851167"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83" w:history="1">
        <w:r w:rsidRPr="0019651D">
          <w:rPr>
            <w:rStyle w:val="affa"/>
            <w:noProof/>
          </w:rPr>
          <w:t>一、參考網站</w:t>
        </w:r>
        <w:r>
          <w:rPr>
            <w:noProof/>
            <w:webHidden/>
          </w:rPr>
          <w:tab/>
        </w:r>
        <w:r>
          <w:rPr>
            <w:noProof/>
            <w:webHidden/>
          </w:rPr>
          <w:fldChar w:fldCharType="begin"/>
        </w:r>
        <w:r>
          <w:rPr>
            <w:noProof/>
            <w:webHidden/>
          </w:rPr>
          <w:instrText xml:space="preserve"> PAGEREF _Toc242566383 \h </w:instrText>
        </w:r>
        <w:r>
          <w:rPr>
            <w:noProof/>
            <w:webHidden/>
          </w:rPr>
        </w:r>
        <w:r>
          <w:rPr>
            <w:noProof/>
            <w:webHidden/>
          </w:rPr>
          <w:fldChar w:fldCharType="separate"/>
        </w:r>
        <w:r>
          <w:rPr>
            <w:noProof/>
            <w:webHidden/>
          </w:rPr>
          <w:t>24</w:t>
        </w:r>
        <w:r>
          <w:rPr>
            <w:noProof/>
            <w:webHidden/>
          </w:rPr>
          <w:fldChar w:fldCharType="end"/>
        </w:r>
      </w:hyperlink>
    </w:p>
    <w:p w14:paraId="154479CF" w14:textId="03733784" w:rsidR="001C77D0" w:rsidRDefault="001C77D0">
      <w:pPr>
        <w:pStyle w:val="2a"/>
        <w:tabs>
          <w:tab w:val="right" w:leader="dot" w:pos="9174"/>
        </w:tabs>
        <w:rPr>
          <w:rFonts w:asciiTheme="minorHAnsi" w:eastAsiaTheme="minorEastAsia" w:hAnsiTheme="minorHAnsi"/>
          <w:noProof/>
          <w:color w:val="auto"/>
          <w:kern w:val="2"/>
          <w:szCs w:val="24"/>
          <w14:ligatures w14:val="standardContextual"/>
        </w:rPr>
      </w:pPr>
      <w:hyperlink w:anchor="_Toc242566384" w:history="1">
        <w:r w:rsidRPr="0019651D">
          <w:rPr>
            <w:rStyle w:val="affa"/>
            <w:noProof/>
          </w:rPr>
          <w:t>二、參考書籍</w:t>
        </w:r>
        <w:r>
          <w:rPr>
            <w:noProof/>
            <w:webHidden/>
          </w:rPr>
          <w:tab/>
        </w:r>
        <w:r>
          <w:rPr>
            <w:noProof/>
            <w:webHidden/>
          </w:rPr>
          <w:fldChar w:fldCharType="begin"/>
        </w:r>
        <w:r>
          <w:rPr>
            <w:noProof/>
            <w:webHidden/>
          </w:rPr>
          <w:instrText xml:space="preserve"> PAGEREF _Toc242566384 \h </w:instrText>
        </w:r>
        <w:r>
          <w:rPr>
            <w:noProof/>
            <w:webHidden/>
          </w:rPr>
        </w:r>
        <w:r>
          <w:rPr>
            <w:noProof/>
            <w:webHidden/>
          </w:rPr>
          <w:fldChar w:fldCharType="separate"/>
        </w:r>
        <w:r>
          <w:rPr>
            <w:noProof/>
            <w:webHidden/>
          </w:rPr>
          <w:t>25</w:t>
        </w:r>
        <w:r>
          <w:rPr>
            <w:noProof/>
            <w:webHidden/>
          </w:rPr>
          <w:fldChar w:fldCharType="end"/>
        </w:r>
      </w:hyperlink>
    </w:p>
    <w:p w14:paraId="7F01C93F" w14:textId="1676A90D" w:rsidR="001C77D0" w:rsidRDefault="001C77D0">
      <w:pPr>
        <w:pStyle w:val="14"/>
        <w:tabs>
          <w:tab w:val="right" w:leader="dot" w:pos="9174"/>
        </w:tabs>
        <w:rPr>
          <w:rFonts w:asciiTheme="minorHAnsi" w:eastAsiaTheme="minorEastAsia" w:hAnsiTheme="minorHAnsi"/>
          <w:noProof/>
          <w:color w:val="auto"/>
          <w:kern w:val="2"/>
          <w:szCs w:val="24"/>
          <w14:ligatures w14:val="standardContextual"/>
        </w:rPr>
      </w:pPr>
      <w:hyperlink w:anchor="_Toc242566385" w:history="1">
        <w:r w:rsidRPr="0019651D">
          <w:rPr>
            <w:rStyle w:val="affa"/>
            <w:noProof/>
          </w:rPr>
          <w:t>補充專頁｜</w:t>
        </w:r>
        <w:r w:rsidRPr="0019651D">
          <w:rPr>
            <w:rStyle w:val="affa"/>
            <w:noProof/>
          </w:rPr>
          <w:t>NVIDIA RTX 6000 Ada Generation</w:t>
        </w:r>
        <w:r w:rsidRPr="0019651D">
          <w:rPr>
            <w:rStyle w:val="affa"/>
            <w:noProof/>
          </w:rPr>
          <w:t>的重要性</w:t>
        </w:r>
        <w:r>
          <w:rPr>
            <w:noProof/>
            <w:webHidden/>
          </w:rPr>
          <w:tab/>
        </w:r>
        <w:r>
          <w:rPr>
            <w:noProof/>
            <w:webHidden/>
          </w:rPr>
          <w:fldChar w:fldCharType="begin"/>
        </w:r>
        <w:r>
          <w:rPr>
            <w:noProof/>
            <w:webHidden/>
          </w:rPr>
          <w:instrText xml:space="preserve"> PAGEREF _Toc242566385 \h </w:instrText>
        </w:r>
        <w:r>
          <w:rPr>
            <w:noProof/>
            <w:webHidden/>
          </w:rPr>
        </w:r>
        <w:r>
          <w:rPr>
            <w:noProof/>
            <w:webHidden/>
          </w:rPr>
          <w:fldChar w:fldCharType="separate"/>
        </w:r>
        <w:r>
          <w:rPr>
            <w:noProof/>
            <w:webHidden/>
          </w:rPr>
          <w:t>26</w:t>
        </w:r>
        <w:r>
          <w:rPr>
            <w:noProof/>
            <w:webHidden/>
          </w:rPr>
          <w:fldChar w:fldCharType="end"/>
        </w:r>
      </w:hyperlink>
    </w:p>
    <w:p w14:paraId="6A583A6D" w14:textId="029267EF" w:rsidR="00ED7F7C" w:rsidRDefault="00CD09D0">
      <w:pPr>
        <w:snapToGrid w:val="0"/>
        <w:ind w:firstLine="0"/>
        <w:jc w:val="both"/>
      </w:pPr>
      <w:r>
        <w:fldChar w:fldCharType="end"/>
      </w:r>
    </w:p>
    <w:p w14:paraId="55C65D9C" w14:textId="77777777" w:rsidR="00ED7F7C" w:rsidRDefault="00ED7F7C">
      <w:pPr>
        <w:sectPr w:rsidR="00ED7F7C">
          <w:headerReference w:type="default" r:id="rId8"/>
          <w:footerReference w:type="default" r:id="rId9"/>
          <w:pgSz w:w="11906" w:h="16838"/>
          <w:pgMar w:top="1304" w:right="1361" w:bottom="1304" w:left="1361" w:header="624" w:footer="624" w:gutter="0"/>
          <w:pgNumType w:fmt="lowerRoman" w:start="1"/>
          <w:cols w:space="720"/>
          <w:docGrid w:linePitch="360"/>
        </w:sectPr>
      </w:pPr>
    </w:p>
    <w:p w14:paraId="360206BC" w14:textId="77777777" w:rsidR="00ED7F7C" w:rsidRDefault="00CD09D0">
      <w:pPr>
        <w:pStyle w:val="1"/>
        <w:snapToGrid w:val="0"/>
      </w:pPr>
      <w:bookmarkStart w:id="0" w:name="_Toc242566340"/>
      <w:r>
        <w:lastRenderedPageBreak/>
        <w:t>壹、摘要</w:t>
      </w:r>
      <w:bookmarkEnd w:id="0"/>
    </w:p>
    <w:p w14:paraId="06C924B4" w14:textId="77777777" w:rsidR="00ED7F7C" w:rsidRDefault="00CD09D0">
      <w:pPr>
        <w:snapToGrid w:val="0"/>
        <w:jc w:val="both"/>
      </w:pPr>
      <w:r>
        <w:t>半導體製程需要穩定的真空環境，乾式真空泵若突然停機，可能造成製程中斷、晶圓損失與維修負擔。</w:t>
      </w:r>
      <w:r>
        <w:t>[1]</w:t>
      </w:r>
      <w:r>
        <w:t>為了讓設備異常能提早被注意，我們規劃製作「乾式真空泵的跨工況多模態異常預警模組」，整合震動、電流與溫度感測資料，並以製程階段、轉速及壓力作為判斷背景。系統由資料擷取模組取得訊號，再於邊緣裝置執行特徵分析與異常檢測，透過</w:t>
      </w:r>
      <w:r>
        <w:t>MQTT</w:t>
      </w:r>
      <w:r>
        <w:t>將健康狀態送至儀表板。我們希望改善單一門檻在負載切換時容易誤報的問題，並保留斷線時的本地預警能力。本說明書提出硬體配置、模型設計與驗證方法；實際偵測成效仍須經獨立測試確認，不將規劃目標視為已完成的成果。</w:t>
      </w:r>
    </w:p>
    <w:p w14:paraId="6D91CF06" w14:textId="77777777" w:rsidR="00ED7F7C" w:rsidRDefault="00CD09D0">
      <w:pPr>
        <w:snapToGrid w:val="0"/>
        <w:ind w:firstLine="0"/>
        <w:jc w:val="both"/>
      </w:pPr>
      <w:r>
        <w:t>關鍵詞：乾式真空泵、跨工況、多模態感測、邊緣運算、異常預警。</w:t>
      </w:r>
    </w:p>
    <w:p w14:paraId="0DC01DE2" w14:textId="77777777" w:rsidR="00ED7F7C" w:rsidRDefault="00CD09D0">
      <w:pPr>
        <w:pStyle w:val="1"/>
        <w:snapToGrid w:val="0"/>
      </w:pPr>
      <w:bookmarkStart w:id="1" w:name="_Toc242566341"/>
      <w:r>
        <w:t>貳、研究動機</w:t>
      </w:r>
      <w:bookmarkEnd w:id="1"/>
    </w:p>
    <w:p w14:paraId="1E470E97" w14:textId="77777777" w:rsidR="00ED7F7C" w:rsidRDefault="00CD09D0">
      <w:pPr>
        <w:snapToGrid w:val="0"/>
        <w:jc w:val="both"/>
      </w:pPr>
      <w:r>
        <w:t>我們在認識半導體設備維護時，發現真空泵雖然不是直接加工晶圓的主角，卻會影響製程是否能持續進行。廠商案例也指出，非預期泵浦故障可能帶來停機、晶圓損失與額外維修支出。</w:t>
      </w:r>
      <w:r>
        <w:t>[1]</w:t>
      </w:r>
      <w:r>
        <w:t>這使我們開始思考：能否利用平時運轉的訊號，在明顯故障之前提供值得追查的提醒？不同抽氣負載與製程階段，本來就會改變震動、電流和溫度，若只看單一數值，很容易把正常切換誤認為故障。因此，我們希望將課堂中的感測、電路與程式知識結合，製作能參考工況背景的預警模組。研究先從安全的教學測試平台做起，以可重複的紀錄逐步修正問題，而不是一開始就宣稱能取代原廠保護或準確預知所有故障。</w:t>
      </w:r>
    </w:p>
    <w:p w14:paraId="27078622" w14:textId="77777777" w:rsidR="00ED7F7C" w:rsidRDefault="00CD09D0">
      <w:pPr>
        <w:pStyle w:val="1"/>
        <w:pageBreakBefore/>
        <w:snapToGrid w:val="0"/>
      </w:pPr>
      <w:bookmarkStart w:id="2" w:name="_Toc242566342"/>
      <w:r>
        <w:lastRenderedPageBreak/>
        <w:t>參、主題與課程之相關性或教學單元之說明</w:t>
      </w:r>
      <w:bookmarkEnd w:id="2"/>
    </w:p>
    <w:p w14:paraId="66B18092" w14:textId="77777777" w:rsidR="00ED7F7C" w:rsidRDefault="00CD09D0">
      <w:pPr>
        <w:snapToGrid w:val="0"/>
        <w:jc w:val="both"/>
      </w:pPr>
      <w:r>
        <w:t>本專題不是單純把感測器接上電腦，而是將機械運轉、電氣量測與資料判讀連成完整的學習過程。我們需要先了解乾式真空泵及驅動馬達的工作條件，再把量測到的電壓、電流與溫度轉成一致的資料格式，最後利用程式判斷訊號是否偏離正常範圍。「專題實作」協助我們建立問題分析與測試紀錄的方法；「電工機械實習」提供馬達負載、轉速與感測轉換的基礎；「基本電學實習」則支援接線、量測與安全檢查。透過三門課程的整合，我們希望學會以證據找出問題，區分真正的設備異常、操作條件改變與感測器故障，並在每次修改後重新驗證，使作品的設計理由與限制都能清楚交代。</w:t>
      </w:r>
    </w:p>
    <w:p w14:paraId="429E400C" w14:textId="77777777" w:rsidR="00ED7F7C" w:rsidRDefault="00CD09D0">
      <w:pPr>
        <w:pStyle w:val="21"/>
        <w:snapToGrid w:val="0"/>
      </w:pPr>
      <w:bookmarkStart w:id="3" w:name="_Toc242566343"/>
      <w:r>
        <w:t>一、專題實作</w:t>
      </w:r>
      <w:bookmarkEnd w:id="3"/>
    </w:p>
    <w:p w14:paraId="4C0BF27C" w14:textId="77777777" w:rsidR="00ED7F7C" w:rsidRDefault="00CD09D0">
      <w:pPr>
        <w:snapToGrid w:val="0"/>
        <w:jc w:val="both"/>
      </w:pPr>
      <w:r>
        <w:t>在專題實作課程中，我們將練習把「希望提早發現真空泵異常」轉成可以執行的工作項目，包括需求訪談、資料規格、元件選擇、程式分工與測試表設計。製作時先完成單一感測通道，再逐步加入多模態融合與儀表板，避免同時改動太多部分而找不到問題來源。我們也會保存接線圖、程式版本、感測器位置及每次測試條件，讓相同實驗可以再次進行。模型表現不佳時，先檢查資料品質與標記方式，再決定是否更換演算法。透過這樣的實作順序，我們希望培養獨立查找資料、分解問題與修正設計的能力，也學習誠實呈現未完成項目，而不是只展示看起來正常的畫面。</w:t>
      </w:r>
    </w:p>
    <w:p w14:paraId="01626EFE" w14:textId="77777777" w:rsidR="00ED7F7C" w:rsidRDefault="00CD09D0">
      <w:pPr>
        <w:pStyle w:val="21"/>
        <w:snapToGrid w:val="0"/>
      </w:pPr>
      <w:bookmarkStart w:id="4" w:name="_Toc242566344"/>
      <w:r>
        <w:t>二、電工機械實習</w:t>
      </w:r>
      <w:bookmarkEnd w:id="4"/>
    </w:p>
    <w:p w14:paraId="3848C7FD" w14:textId="77777777" w:rsidR="00ED7F7C" w:rsidRDefault="00CD09D0">
      <w:pPr>
        <w:snapToGrid w:val="0"/>
        <w:jc w:val="both"/>
      </w:pPr>
      <w:r>
        <w:t>電工機械實習中學到的馬達原理、轉速與負載關係，可幫助我們理解真空泵在不同操作條件下為何會出現不同訊號。本專題將課程應用延伸到感測器訊號轉換與資料擷取：利用加速度感測器觀察機械震動，以隔離式電流感測器記錄用電變化，再由溫度探頭追蹤外殼升溫。我們會比較量測方向、固定方式與取樣頻率對資料的影響，並練習將類比訊號經調理與轉換後交由微處理機分析。實作時也要辨認啟動、暖機與穩態運轉的差異，避免把正常暫態當成故障。這些練習使我們能從機械與電氣兩個角度解讀資料，而不只依賴模型給出的分數作判斷。</w:t>
      </w:r>
    </w:p>
    <w:p w14:paraId="5B2CF3DA" w14:textId="77777777" w:rsidR="00ED7F7C" w:rsidRDefault="00CD09D0">
      <w:pPr>
        <w:pStyle w:val="21"/>
        <w:snapToGrid w:val="0"/>
      </w:pPr>
      <w:bookmarkStart w:id="5" w:name="_Toc242566345"/>
      <w:r>
        <w:t>三、基本電學實習</w:t>
      </w:r>
      <w:bookmarkEnd w:id="5"/>
    </w:p>
    <w:p w14:paraId="6693C750" w14:textId="77777777" w:rsidR="00ED7F7C" w:rsidRDefault="00CD09D0">
      <w:pPr>
        <w:snapToGrid w:val="0"/>
        <w:jc w:val="both"/>
      </w:pPr>
      <w:r>
        <w:t>基本電學實習提供本專題所需的電壓、電流、電阻與功率概念，也讓我們學習使用電表、示波器及基本配線工具。安裝前須確認供電電壓、訊號輸出範圍、接地方式與保險絲規格，避免感測器輸出超過資料擷取模組的容許值。我們會先在安全低壓環境檢查通道，再由具資格人員協助處理機台電源側的量測作業，不直接將市電接入邊緣裝置。課程中的焊接、端子壓接及導通檢查，可用來改善接觸不良與線路鬆脫問題。當資料出現跳動時，也要先量測供電與檢查屏蔽，確認不是電路雜訊。藉由這些基本功，我們希望建立先確認安全、再逐步通電與測試的習慣。</w:t>
      </w:r>
    </w:p>
    <w:p w14:paraId="4E522F17" w14:textId="77777777" w:rsidR="00ED7F7C" w:rsidRDefault="00CD09D0">
      <w:pPr>
        <w:pStyle w:val="1"/>
        <w:pageBreakBefore/>
        <w:snapToGrid w:val="0"/>
      </w:pPr>
      <w:bookmarkStart w:id="6" w:name="_Toc242566346"/>
      <w:r>
        <w:lastRenderedPageBreak/>
        <w:t>肆、研究方法</w:t>
      </w:r>
      <w:bookmarkEnd w:id="6"/>
    </w:p>
    <w:p w14:paraId="41E555D4" w14:textId="77777777" w:rsidR="00ED7F7C" w:rsidRDefault="00CD09D0">
      <w:pPr>
        <w:pStyle w:val="21"/>
        <w:snapToGrid w:val="0"/>
      </w:pPr>
      <w:bookmarkStart w:id="7" w:name="_Toc242566347"/>
      <w:r>
        <w:t>一、專題實作</w:t>
      </w:r>
      <w:bookmarkEnd w:id="7"/>
    </w:p>
    <w:p w14:paraId="161A8301" w14:textId="77777777" w:rsidR="00ED7F7C" w:rsidRDefault="00CD09D0">
      <w:pPr>
        <w:snapToGrid w:val="0"/>
        <w:jc w:val="both"/>
      </w:pPr>
      <w:r>
        <w:t>我們規劃以六個月完成概念設計、感測架設、資料整理、模型訓練、系統整合與驗證。以下月份為啟動後的相對月份，不表示相關實驗已完成。每一階段保留檢核點；若量測品質尚未通過，就先處理硬體問題，不急著進入</w:t>
      </w:r>
      <w:r>
        <w:t>AI</w:t>
      </w:r>
      <w:r>
        <w:t>訓練。</w:t>
      </w:r>
    </w:p>
    <w:p w14:paraId="122080CD" w14:textId="77777777" w:rsidR="00ED7F7C" w:rsidRDefault="00CD09D0">
      <w:pPr>
        <w:pStyle w:val="af7"/>
        <w:keepNext/>
        <w:snapToGrid w:val="0"/>
      </w:pPr>
      <w:r>
        <w:rPr>
          <w:b/>
        </w:rPr>
        <w:t>表</w:t>
      </w:r>
      <w:r>
        <w:rPr>
          <w:b/>
        </w:rPr>
        <w:t>1</w:t>
      </w:r>
      <w:r>
        <w:rPr>
          <w:b/>
        </w:rPr>
        <w:t>、六個月工作時程與階段交付項目</w:t>
      </w:r>
    </w:p>
    <w:tbl>
      <w:tblPr>
        <w:tblStyle w:val="aff2"/>
        <w:tblW w:w="0" w:type="auto"/>
        <w:jc w:val="center"/>
        <w:tblLayout w:type="fixed"/>
        <w:tblLook w:val="04A0" w:firstRow="1" w:lastRow="0" w:firstColumn="1" w:lastColumn="0" w:noHBand="0" w:noVBand="1"/>
      </w:tblPr>
      <w:tblGrid>
        <w:gridCol w:w="1984"/>
        <w:gridCol w:w="3288"/>
        <w:gridCol w:w="3912"/>
      </w:tblGrid>
      <w:tr w:rsidR="00ED7F7C" w14:paraId="2C6A20D3" w14:textId="77777777">
        <w:trPr>
          <w:cantSplit/>
          <w:tblHeader/>
          <w:jc w:val="center"/>
        </w:trPr>
        <w:tc>
          <w:tcPr>
            <w:tcW w:w="1984" w:type="dxa"/>
            <w:shd w:val="clear" w:color="auto" w:fill="E9EFF5"/>
            <w:tcMar>
              <w:top w:w="85" w:type="dxa"/>
              <w:left w:w="85" w:type="dxa"/>
              <w:bottom w:w="85" w:type="dxa"/>
              <w:right w:w="85" w:type="dxa"/>
            </w:tcMar>
            <w:vAlign w:val="center"/>
          </w:tcPr>
          <w:p w14:paraId="03F9FE3C" w14:textId="77777777" w:rsidR="00ED7F7C" w:rsidRDefault="00CD09D0">
            <w:pPr>
              <w:keepNext/>
              <w:snapToGrid w:val="0"/>
              <w:spacing w:before="60" w:after="60" w:line="276" w:lineRule="auto"/>
              <w:ind w:firstLine="0"/>
            </w:pPr>
            <w:r>
              <w:rPr>
                <w:b/>
                <w:color w:val="16324F"/>
                <w:sz w:val="21"/>
              </w:rPr>
              <w:t>階段</w:t>
            </w:r>
          </w:p>
        </w:tc>
        <w:tc>
          <w:tcPr>
            <w:tcW w:w="3288" w:type="dxa"/>
            <w:shd w:val="clear" w:color="auto" w:fill="E9EFF5"/>
            <w:tcMar>
              <w:top w:w="85" w:type="dxa"/>
              <w:left w:w="85" w:type="dxa"/>
              <w:bottom w:w="85" w:type="dxa"/>
              <w:right w:w="85" w:type="dxa"/>
            </w:tcMar>
            <w:vAlign w:val="center"/>
          </w:tcPr>
          <w:p w14:paraId="289AFB65" w14:textId="77777777" w:rsidR="00ED7F7C" w:rsidRDefault="00CD09D0">
            <w:pPr>
              <w:keepNext/>
              <w:snapToGrid w:val="0"/>
              <w:spacing w:before="60" w:after="60" w:line="276" w:lineRule="auto"/>
              <w:ind w:firstLine="0"/>
            </w:pPr>
            <w:r>
              <w:rPr>
                <w:b/>
                <w:color w:val="16324F"/>
                <w:sz w:val="21"/>
              </w:rPr>
              <w:t>主要工作</w:t>
            </w:r>
          </w:p>
        </w:tc>
        <w:tc>
          <w:tcPr>
            <w:tcW w:w="3912" w:type="dxa"/>
            <w:shd w:val="clear" w:color="auto" w:fill="E9EFF5"/>
            <w:tcMar>
              <w:top w:w="85" w:type="dxa"/>
              <w:left w:w="85" w:type="dxa"/>
              <w:bottom w:w="85" w:type="dxa"/>
              <w:right w:w="85" w:type="dxa"/>
            </w:tcMar>
            <w:vAlign w:val="center"/>
          </w:tcPr>
          <w:p w14:paraId="5CAB22FD" w14:textId="77777777" w:rsidR="00ED7F7C" w:rsidRDefault="00CD09D0">
            <w:pPr>
              <w:keepNext/>
              <w:snapToGrid w:val="0"/>
              <w:spacing w:before="60" w:after="60" w:line="276" w:lineRule="auto"/>
              <w:ind w:firstLine="0"/>
            </w:pPr>
            <w:r>
              <w:rPr>
                <w:b/>
                <w:color w:val="16324F"/>
                <w:sz w:val="21"/>
              </w:rPr>
              <w:t>階段交付與檢核</w:t>
            </w:r>
          </w:p>
        </w:tc>
      </w:tr>
      <w:tr w:rsidR="00ED7F7C" w14:paraId="3CB71652" w14:textId="77777777">
        <w:trPr>
          <w:cantSplit/>
          <w:jc w:val="center"/>
        </w:trPr>
        <w:tc>
          <w:tcPr>
            <w:tcW w:w="1984" w:type="dxa"/>
            <w:tcMar>
              <w:top w:w="85" w:type="dxa"/>
              <w:left w:w="85" w:type="dxa"/>
              <w:bottom w:w="85" w:type="dxa"/>
              <w:right w:w="85" w:type="dxa"/>
            </w:tcMar>
            <w:vAlign w:val="center"/>
          </w:tcPr>
          <w:p w14:paraId="7E79FB1E" w14:textId="77777777" w:rsidR="00ED7F7C" w:rsidRDefault="00CD09D0">
            <w:pPr>
              <w:snapToGrid w:val="0"/>
              <w:spacing w:before="60" w:after="60" w:line="276" w:lineRule="auto"/>
              <w:ind w:firstLine="0"/>
            </w:pPr>
            <w:r>
              <w:rPr>
                <w:sz w:val="21"/>
              </w:rPr>
              <w:t>第</w:t>
            </w:r>
            <w:r>
              <w:rPr>
                <w:sz w:val="21"/>
              </w:rPr>
              <w:t>1</w:t>
            </w:r>
            <w:r>
              <w:rPr>
                <w:sz w:val="21"/>
              </w:rPr>
              <w:t>月：概念設計</w:t>
            </w:r>
          </w:p>
        </w:tc>
        <w:tc>
          <w:tcPr>
            <w:tcW w:w="3288" w:type="dxa"/>
            <w:tcMar>
              <w:top w:w="85" w:type="dxa"/>
              <w:left w:w="85" w:type="dxa"/>
              <w:bottom w:w="85" w:type="dxa"/>
              <w:right w:w="85" w:type="dxa"/>
            </w:tcMar>
            <w:vAlign w:val="center"/>
          </w:tcPr>
          <w:p w14:paraId="28A39E25" w14:textId="77777777" w:rsidR="00ED7F7C" w:rsidRDefault="00CD09D0">
            <w:pPr>
              <w:snapToGrid w:val="0"/>
              <w:spacing w:before="60" w:after="60" w:line="276" w:lineRule="auto"/>
              <w:ind w:firstLine="0"/>
            </w:pPr>
            <w:r>
              <w:rPr>
                <w:sz w:val="21"/>
              </w:rPr>
              <w:t>了解泵浦規格與維護需求；定義工況、量測點及安全界線；盤點可借用設備。</w:t>
            </w:r>
          </w:p>
        </w:tc>
        <w:tc>
          <w:tcPr>
            <w:tcW w:w="3912" w:type="dxa"/>
            <w:tcMar>
              <w:top w:w="85" w:type="dxa"/>
              <w:left w:w="85" w:type="dxa"/>
              <w:bottom w:w="85" w:type="dxa"/>
              <w:right w:w="85" w:type="dxa"/>
            </w:tcMar>
            <w:vAlign w:val="center"/>
          </w:tcPr>
          <w:p w14:paraId="27F6A8D1" w14:textId="77777777" w:rsidR="00ED7F7C" w:rsidRDefault="00CD09D0">
            <w:pPr>
              <w:snapToGrid w:val="0"/>
              <w:spacing w:before="60" w:after="60" w:line="276" w:lineRule="auto"/>
              <w:ind w:firstLine="0"/>
            </w:pPr>
            <w:r>
              <w:rPr>
                <w:sz w:val="21"/>
              </w:rPr>
              <w:t>完成需求表、接線草圖與風險清單；確認僅讀取訊號，不控制泵浦。</w:t>
            </w:r>
          </w:p>
        </w:tc>
      </w:tr>
      <w:tr w:rsidR="00ED7F7C" w14:paraId="754ECDC5" w14:textId="77777777">
        <w:trPr>
          <w:cantSplit/>
          <w:jc w:val="center"/>
        </w:trPr>
        <w:tc>
          <w:tcPr>
            <w:tcW w:w="1984" w:type="dxa"/>
            <w:tcMar>
              <w:top w:w="85" w:type="dxa"/>
              <w:left w:w="85" w:type="dxa"/>
              <w:bottom w:w="85" w:type="dxa"/>
              <w:right w:w="85" w:type="dxa"/>
            </w:tcMar>
            <w:vAlign w:val="center"/>
          </w:tcPr>
          <w:p w14:paraId="56E00AB3" w14:textId="77777777" w:rsidR="00ED7F7C" w:rsidRDefault="00CD09D0">
            <w:pPr>
              <w:snapToGrid w:val="0"/>
              <w:spacing w:before="60" w:after="60" w:line="276" w:lineRule="auto"/>
              <w:ind w:firstLine="0"/>
            </w:pPr>
            <w:r>
              <w:rPr>
                <w:sz w:val="21"/>
              </w:rPr>
              <w:t>第</w:t>
            </w:r>
            <w:r>
              <w:rPr>
                <w:sz w:val="21"/>
              </w:rPr>
              <w:t>2</w:t>
            </w:r>
            <w:r>
              <w:rPr>
                <w:sz w:val="21"/>
              </w:rPr>
              <w:t>月：感測器架設</w:t>
            </w:r>
          </w:p>
        </w:tc>
        <w:tc>
          <w:tcPr>
            <w:tcW w:w="3288" w:type="dxa"/>
            <w:tcMar>
              <w:top w:w="85" w:type="dxa"/>
              <w:left w:w="85" w:type="dxa"/>
              <w:bottom w:w="85" w:type="dxa"/>
              <w:right w:w="85" w:type="dxa"/>
            </w:tcMar>
            <w:vAlign w:val="center"/>
          </w:tcPr>
          <w:p w14:paraId="6C0756BB" w14:textId="77777777" w:rsidR="00ED7F7C" w:rsidRDefault="00CD09D0">
            <w:pPr>
              <w:snapToGrid w:val="0"/>
              <w:spacing w:before="60" w:after="60" w:line="276" w:lineRule="auto"/>
              <w:ind w:firstLine="0"/>
            </w:pPr>
            <w:r>
              <w:rPr>
                <w:sz w:val="21"/>
              </w:rPr>
              <w:t>製作固定座、配置</w:t>
            </w:r>
            <w:r>
              <w:rPr>
                <w:sz w:val="21"/>
              </w:rPr>
              <w:t>DAQ</w:t>
            </w:r>
            <w:r>
              <w:rPr>
                <w:sz w:val="21"/>
              </w:rPr>
              <w:t>與電源；完成震動、電流、溫度及工況通道測試。</w:t>
            </w:r>
          </w:p>
        </w:tc>
        <w:tc>
          <w:tcPr>
            <w:tcW w:w="3912" w:type="dxa"/>
            <w:tcMar>
              <w:top w:w="85" w:type="dxa"/>
              <w:left w:w="85" w:type="dxa"/>
              <w:bottom w:w="85" w:type="dxa"/>
              <w:right w:w="85" w:type="dxa"/>
            </w:tcMar>
            <w:vAlign w:val="center"/>
          </w:tcPr>
          <w:p w14:paraId="70973EBD" w14:textId="77777777" w:rsidR="00ED7F7C" w:rsidRDefault="00CD09D0">
            <w:pPr>
              <w:snapToGrid w:val="0"/>
              <w:spacing w:before="60" w:after="60" w:line="276" w:lineRule="auto"/>
              <w:ind w:firstLine="0"/>
            </w:pPr>
            <w:r>
              <w:rPr>
                <w:sz w:val="21"/>
              </w:rPr>
              <w:t>留存感測器序號、校正資料、量程與安裝照片；通過連續擷取檢查。</w:t>
            </w:r>
          </w:p>
        </w:tc>
      </w:tr>
      <w:tr w:rsidR="00ED7F7C" w14:paraId="7DAD5D79" w14:textId="77777777">
        <w:trPr>
          <w:cantSplit/>
          <w:jc w:val="center"/>
        </w:trPr>
        <w:tc>
          <w:tcPr>
            <w:tcW w:w="1984" w:type="dxa"/>
            <w:tcMar>
              <w:top w:w="85" w:type="dxa"/>
              <w:left w:w="85" w:type="dxa"/>
              <w:bottom w:w="85" w:type="dxa"/>
              <w:right w:w="85" w:type="dxa"/>
            </w:tcMar>
            <w:vAlign w:val="center"/>
          </w:tcPr>
          <w:p w14:paraId="6B38FB2B" w14:textId="77777777" w:rsidR="00ED7F7C" w:rsidRDefault="00CD09D0">
            <w:pPr>
              <w:snapToGrid w:val="0"/>
              <w:spacing w:before="60" w:after="60" w:line="276" w:lineRule="auto"/>
              <w:ind w:firstLine="0"/>
            </w:pPr>
            <w:r>
              <w:rPr>
                <w:sz w:val="21"/>
              </w:rPr>
              <w:t>第</w:t>
            </w:r>
            <w:r>
              <w:rPr>
                <w:sz w:val="21"/>
              </w:rPr>
              <w:t>3</w:t>
            </w:r>
            <w:r>
              <w:rPr>
                <w:sz w:val="21"/>
              </w:rPr>
              <w:t>月：資料蒐集</w:t>
            </w:r>
          </w:p>
        </w:tc>
        <w:tc>
          <w:tcPr>
            <w:tcW w:w="3288" w:type="dxa"/>
            <w:tcMar>
              <w:top w:w="85" w:type="dxa"/>
              <w:left w:w="85" w:type="dxa"/>
              <w:bottom w:w="85" w:type="dxa"/>
              <w:right w:w="85" w:type="dxa"/>
            </w:tcMar>
            <w:vAlign w:val="center"/>
          </w:tcPr>
          <w:p w14:paraId="0408A386" w14:textId="77777777" w:rsidR="00ED7F7C" w:rsidRDefault="00CD09D0">
            <w:pPr>
              <w:snapToGrid w:val="0"/>
              <w:spacing w:before="60" w:after="60" w:line="276" w:lineRule="auto"/>
              <w:ind w:firstLine="0"/>
            </w:pPr>
            <w:r>
              <w:rPr>
                <w:sz w:val="21"/>
              </w:rPr>
              <w:t>在安全負載範圍內記錄待機、穩態抽氣及切換過程；建立操作日誌。</w:t>
            </w:r>
          </w:p>
        </w:tc>
        <w:tc>
          <w:tcPr>
            <w:tcW w:w="3912" w:type="dxa"/>
            <w:tcMar>
              <w:top w:w="85" w:type="dxa"/>
              <w:left w:w="85" w:type="dxa"/>
              <w:bottom w:w="85" w:type="dxa"/>
              <w:right w:w="85" w:type="dxa"/>
            </w:tcMar>
            <w:vAlign w:val="center"/>
          </w:tcPr>
          <w:p w14:paraId="5A760BBE" w14:textId="77777777" w:rsidR="00ED7F7C" w:rsidRDefault="00CD09D0">
            <w:pPr>
              <w:snapToGrid w:val="0"/>
              <w:spacing w:before="60" w:after="60" w:line="276" w:lineRule="auto"/>
              <w:ind w:firstLine="0"/>
            </w:pPr>
            <w:r>
              <w:rPr>
                <w:sz w:val="21"/>
              </w:rPr>
              <w:t>每筆資料具批次、時間與工況標記；先劃分訓練、驗證和測試批次。</w:t>
            </w:r>
          </w:p>
        </w:tc>
      </w:tr>
      <w:tr w:rsidR="00ED7F7C" w14:paraId="4A8FBF14" w14:textId="77777777">
        <w:trPr>
          <w:cantSplit/>
          <w:jc w:val="center"/>
        </w:trPr>
        <w:tc>
          <w:tcPr>
            <w:tcW w:w="1984" w:type="dxa"/>
            <w:tcMar>
              <w:top w:w="85" w:type="dxa"/>
              <w:left w:w="85" w:type="dxa"/>
              <w:bottom w:w="85" w:type="dxa"/>
              <w:right w:w="85" w:type="dxa"/>
            </w:tcMar>
            <w:vAlign w:val="center"/>
          </w:tcPr>
          <w:p w14:paraId="7EE7E8E8" w14:textId="77777777" w:rsidR="00ED7F7C" w:rsidRDefault="00CD09D0">
            <w:pPr>
              <w:snapToGrid w:val="0"/>
              <w:spacing w:before="60" w:after="60" w:line="276" w:lineRule="auto"/>
              <w:ind w:firstLine="0"/>
            </w:pPr>
            <w:r>
              <w:rPr>
                <w:sz w:val="21"/>
              </w:rPr>
              <w:t>第</w:t>
            </w:r>
            <w:r>
              <w:rPr>
                <w:sz w:val="21"/>
              </w:rPr>
              <w:t>4</w:t>
            </w:r>
            <w:r>
              <w:rPr>
                <w:sz w:val="21"/>
              </w:rPr>
              <w:t>月：模型訓練</w:t>
            </w:r>
          </w:p>
        </w:tc>
        <w:tc>
          <w:tcPr>
            <w:tcW w:w="3288" w:type="dxa"/>
            <w:tcMar>
              <w:top w:w="85" w:type="dxa"/>
              <w:left w:w="85" w:type="dxa"/>
              <w:bottom w:w="85" w:type="dxa"/>
              <w:right w:w="85" w:type="dxa"/>
            </w:tcMar>
            <w:vAlign w:val="center"/>
          </w:tcPr>
          <w:p w14:paraId="21DF1986" w14:textId="77777777" w:rsidR="00ED7F7C" w:rsidRDefault="00CD09D0">
            <w:pPr>
              <w:snapToGrid w:val="0"/>
              <w:spacing w:before="60" w:after="60" w:line="276" w:lineRule="auto"/>
              <w:ind w:firstLine="0"/>
            </w:pPr>
            <w:r>
              <w:rPr>
                <w:sz w:val="21"/>
              </w:rPr>
              <w:t>完成特徵程式、基準門檻、</w:t>
            </w:r>
            <w:r>
              <w:rPr>
                <w:sz w:val="21"/>
              </w:rPr>
              <w:t>Isolation Forest</w:t>
            </w:r>
            <w:r>
              <w:rPr>
                <w:sz w:val="21"/>
              </w:rPr>
              <w:t>及小型</w:t>
            </w:r>
            <w:r>
              <w:rPr>
                <w:sz w:val="21"/>
              </w:rPr>
              <w:t>Autoencoder</w:t>
            </w:r>
            <w:r>
              <w:rPr>
                <w:sz w:val="21"/>
              </w:rPr>
              <w:t>比較。</w:t>
            </w:r>
          </w:p>
        </w:tc>
        <w:tc>
          <w:tcPr>
            <w:tcW w:w="3912" w:type="dxa"/>
            <w:tcMar>
              <w:top w:w="85" w:type="dxa"/>
              <w:left w:w="85" w:type="dxa"/>
              <w:bottom w:w="85" w:type="dxa"/>
              <w:right w:w="85" w:type="dxa"/>
            </w:tcMar>
            <w:vAlign w:val="center"/>
          </w:tcPr>
          <w:p w14:paraId="06E2EC4B" w14:textId="77777777" w:rsidR="00ED7F7C" w:rsidRDefault="00CD09D0">
            <w:pPr>
              <w:snapToGrid w:val="0"/>
              <w:spacing w:before="60" w:after="60" w:line="276" w:lineRule="auto"/>
              <w:ind w:firstLine="0"/>
            </w:pPr>
            <w:r>
              <w:rPr>
                <w:sz w:val="21"/>
              </w:rPr>
              <w:t>凍結前處理參數、模型與門檻版本；檢查資料洩漏與未知工況處理。</w:t>
            </w:r>
          </w:p>
        </w:tc>
      </w:tr>
      <w:tr w:rsidR="00ED7F7C" w14:paraId="71ACDE36" w14:textId="77777777">
        <w:trPr>
          <w:cantSplit/>
          <w:jc w:val="center"/>
        </w:trPr>
        <w:tc>
          <w:tcPr>
            <w:tcW w:w="1984" w:type="dxa"/>
            <w:tcMar>
              <w:top w:w="85" w:type="dxa"/>
              <w:left w:w="85" w:type="dxa"/>
              <w:bottom w:w="85" w:type="dxa"/>
              <w:right w:w="85" w:type="dxa"/>
            </w:tcMar>
            <w:vAlign w:val="center"/>
          </w:tcPr>
          <w:p w14:paraId="07A24733" w14:textId="77777777" w:rsidR="00ED7F7C" w:rsidRDefault="00CD09D0">
            <w:pPr>
              <w:snapToGrid w:val="0"/>
              <w:spacing w:before="60" w:after="60" w:line="276" w:lineRule="auto"/>
              <w:ind w:firstLine="0"/>
            </w:pPr>
            <w:r>
              <w:rPr>
                <w:sz w:val="21"/>
              </w:rPr>
              <w:t>第</w:t>
            </w:r>
            <w:r>
              <w:rPr>
                <w:sz w:val="21"/>
              </w:rPr>
              <w:t>5</w:t>
            </w:r>
            <w:r>
              <w:rPr>
                <w:sz w:val="21"/>
              </w:rPr>
              <w:t>月：系統整合</w:t>
            </w:r>
          </w:p>
        </w:tc>
        <w:tc>
          <w:tcPr>
            <w:tcW w:w="3288" w:type="dxa"/>
            <w:tcMar>
              <w:top w:w="85" w:type="dxa"/>
              <w:left w:w="85" w:type="dxa"/>
              <w:bottom w:w="85" w:type="dxa"/>
              <w:right w:w="85" w:type="dxa"/>
            </w:tcMar>
            <w:vAlign w:val="center"/>
          </w:tcPr>
          <w:p w14:paraId="77921656" w14:textId="77777777" w:rsidR="00ED7F7C" w:rsidRDefault="00CD09D0">
            <w:pPr>
              <w:snapToGrid w:val="0"/>
              <w:spacing w:before="60" w:after="60" w:line="276" w:lineRule="auto"/>
              <w:ind w:firstLine="0"/>
            </w:pPr>
            <w:r>
              <w:rPr>
                <w:sz w:val="21"/>
              </w:rPr>
              <w:t>串接邊緣推論、</w:t>
            </w:r>
            <w:r>
              <w:rPr>
                <w:sz w:val="21"/>
              </w:rPr>
              <w:t>MQTT</w:t>
            </w:r>
            <w:r>
              <w:rPr>
                <w:sz w:val="21"/>
              </w:rPr>
              <w:t>、資料庫、儀表板及告警紀錄；測試離線補傳。</w:t>
            </w:r>
          </w:p>
        </w:tc>
        <w:tc>
          <w:tcPr>
            <w:tcW w:w="3912" w:type="dxa"/>
            <w:tcMar>
              <w:top w:w="85" w:type="dxa"/>
              <w:left w:w="85" w:type="dxa"/>
              <w:bottom w:w="85" w:type="dxa"/>
              <w:right w:w="85" w:type="dxa"/>
            </w:tcMar>
            <w:vAlign w:val="center"/>
          </w:tcPr>
          <w:p w14:paraId="3A6FE4E4" w14:textId="77777777" w:rsidR="00ED7F7C" w:rsidRDefault="00CD09D0">
            <w:pPr>
              <w:snapToGrid w:val="0"/>
              <w:spacing w:before="60" w:after="60" w:line="276" w:lineRule="auto"/>
              <w:ind w:firstLine="0"/>
            </w:pPr>
            <w:r>
              <w:rPr>
                <w:sz w:val="21"/>
              </w:rPr>
              <w:t>完成端到端事件追蹤；核對資料時間、序號、通知及確認流程。</w:t>
            </w:r>
          </w:p>
        </w:tc>
      </w:tr>
      <w:tr w:rsidR="00ED7F7C" w14:paraId="56FC409C" w14:textId="77777777">
        <w:trPr>
          <w:cantSplit/>
          <w:jc w:val="center"/>
        </w:trPr>
        <w:tc>
          <w:tcPr>
            <w:tcW w:w="1984" w:type="dxa"/>
            <w:tcMar>
              <w:top w:w="85" w:type="dxa"/>
              <w:left w:w="85" w:type="dxa"/>
              <w:bottom w:w="85" w:type="dxa"/>
              <w:right w:w="85" w:type="dxa"/>
            </w:tcMar>
            <w:vAlign w:val="center"/>
          </w:tcPr>
          <w:p w14:paraId="0FD5A03A" w14:textId="77777777" w:rsidR="00ED7F7C" w:rsidRDefault="00CD09D0">
            <w:pPr>
              <w:snapToGrid w:val="0"/>
              <w:spacing w:before="60" w:after="60" w:line="276" w:lineRule="auto"/>
              <w:ind w:firstLine="0"/>
            </w:pPr>
            <w:r>
              <w:rPr>
                <w:sz w:val="21"/>
              </w:rPr>
              <w:t>第</w:t>
            </w:r>
            <w:r>
              <w:rPr>
                <w:sz w:val="21"/>
              </w:rPr>
              <w:t>6</w:t>
            </w:r>
            <w:r>
              <w:rPr>
                <w:sz w:val="21"/>
              </w:rPr>
              <w:t>月：整合測試</w:t>
            </w:r>
          </w:p>
        </w:tc>
        <w:tc>
          <w:tcPr>
            <w:tcW w:w="3288" w:type="dxa"/>
            <w:tcMar>
              <w:top w:w="85" w:type="dxa"/>
              <w:left w:w="85" w:type="dxa"/>
              <w:bottom w:w="85" w:type="dxa"/>
              <w:right w:w="85" w:type="dxa"/>
            </w:tcMar>
            <w:vAlign w:val="center"/>
          </w:tcPr>
          <w:p w14:paraId="1170860C" w14:textId="77777777" w:rsidR="00ED7F7C" w:rsidRDefault="00CD09D0">
            <w:pPr>
              <w:snapToGrid w:val="0"/>
              <w:spacing w:before="60" w:after="60" w:line="276" w:lineRule="auto"/>
              <w:ind w:firstLine="0"/>
            </w:pPr>
            <w:r>
              <w:rPr>
                <w:sz w:val="21"/>
              </w:rPr>
              <w:t>執行盲測、跨工況比較、斷線與重啟測試；整理問題和操作說明。</w:t>
            </w:r>
          </w:p>
        </w:tc>
        <w:tc>
          <w:tcPr>
            <w:tcW w:w="3912" w:type="dxa"/>
            <w:tcMar>
              <w:top w:w="85" w:type="dxa"/>
              <w:left w:w="85" w:type="dxa"/>
              <w:bottom w:w="85" w:type="dxa"/>
              <w:right w:w="85" w:type="dxa"/>
            </w:tcMar>
            <w:vAlign w:val="center"/>
          </w:tcPr>
          <w:p w14:paraId="24D33DF2" w14:textId="77777777" w:rsidR="00ED7F7C" w:rsidRDefault="00CD09D0">
            <w:pPr>
              <w:snapToGrid w:val="0"/>
              <w:spacing w:before="60" w:after="60" w:line="276" w:lineRule="auto"/>
              <w:ind w:firstLine="0"/>
            </w:pPr>
            <w:r>
              <w:rPr>
                <w:sz w:val="21"/>
              </w:rPr>
              <w:t>產出含分母與測試條件的成效表、未達標清單、實機照片及報告。</w:t>
            </w:r>
          </w:p>
        </w:tc>
      </w:tr>
    </w:tbl>
    <w:p w14:paraId="26477664" w14:textId="77777777" w:rsidR="00ED7F7C" w:rsidRDefault="00ED7F7C">
      <w:pPr>
        <w:snapToGrid w:val="0"/>
        <w:spacing w:after="0"/>
        <w:jc w:val="both"/>
      </w:pPr>
    </w:p>
    <w:p w14:paraId="1E95AC61" w14:textId="77777777" w:rsidR="00ED7F7C" w:rsidRDefault="00CD09D0">
      <w:pPr>
        <w:snapToGrid w:val="0"/>
        <w:jc w:val="both"/>
      </w:pPr>
      <w:r>
        <w:t>資料蒐集先使用未接觸有害製程氣體的教學用乾式真空泵，在原廠允許的轉速、入口流量與排氣條件內操作。初步設定三種穩態工況：</w:t>
      </w:r>
      <w:r>
        <w:t>C1</w:t>
      </w:r>
      <w:r>
        <w:t>低負載或待機、</w:t>
      </w:r>
      <w:r>
        <w:t>C2</w:t>
      </w:r>
      <w:r>
        <w:t>一般抽氣、</w:t>
      </w:r>
      <w:r>
        <w:t>C3</w:t>
      </w:r>
      <w:r>
        <w:t>允許範圍內較高負載；實際壓力與轉速區間由機台手冊和預試決定。若機型不允許調速，就固定轉速，以合法的入口負載與操作階段區分工況，不強行設定不存在的變速模式。</w:t>
      </w:r>
    </w:p>
    <w:p w14:paraId="6F02B4BE" w14:textId="77777777" w:rsidR="00ED7F7C" w:rsidRDefault="00CD09D0">
      <w:pPr>
        <w:snapToGrid w:val="0"/>
        <w:jc w:val="both"/>
      </w:pPr>
      <w:r>
        <w:lastRenderedPageBreak/>
        <w:t>每種工況規劃取得至少三個不同日期或獨立啟停的正常批次，每批穩態資料至少</w:t>
      </w:r>
      <w:r>
        <w:t>30</w:t>
      </w:r>
      <w:r>
        <w:t>分鐘，另保留完整暖機與切換段。這只是初步收集量，不足以直接證明長期誤報率；正式評估須另外累積長時間正常運轉紀錄。資料缺乏時先完成量測與規則式監看，不以少量重疊視窗包裝成大量獨立樣本。</w:t>
      </w:r>
    </w:p>
    <w:p w14:paraId="55DCBD01" w14:textId="77777777" w:rsidR="00ED7F7C" w:rsidRDefault="00CD09D0">
      <w:pPr>
        <w:pStyle w:val="21"/>
        <w:snapToGrid w:val="0"/>
      </w:pPr>
      <w:bookmarkStart w:id="8" w:name="_Toc242566348"/>
      <w:r>
        <w:t>二、硬體裝置</w:t>
      </w:r>
      <w:bookmarkEnd w:id="8"/>
    </w:p>
    <w:p w14:paraId="104BC36E" w14:textId="77777777" w:rsidR="00ED7F7C" w:rsidRDefault="00CD09D0">
      <w:pPr>
        <w:snapToGrid w:val="0"/>
        <w:jc w:val="both"/>
      </w:pPr>
      <w:r>
        <w:t>本模組規劃採用八類硬體。高頻訊號走有線擷取，</w:t>
      </w:r>
      <w:r>
        <w:t>Wi-Fi</w:t>
      </w:r>
      <w:r>
        <w:t>只負責邊緣端與伺服器之間的摘要及事件傳輸。以下量程、頻寬與價格屬設計需求或估算；採購前仍須核對實際泵型、感測器規格及驅動相容性。</w:t>
      </w:r>
    </w:p>
    <w:p w14:paraId="4595144C" w14:textId="77777777" w:rsidR="00ED7F7C" w:rsidRDefault="00CD09D0">
      <w:pPr>
        <w:pStyle w:val="31"/>
        <w:snapToGrid w:val="0"/>
      </w:pPr>
      <w:bookmarkStart w:id="9" w:name="_Toc242566349"/>
      <w:r>
        <w:t>(</w:t>
      </w:r>
      <w:r>
        <w:t>一</w:t>
      </w:r>
      <w:r>
        <w:t xml:space="preserve">) </w:t>
      </w:r>
      <w:r>
        <w:t>邊緣運算裝置</w:t>
      </w:r>
      <w:bookmarkEnd w:id="9"/>
    </w:p>
    <w:p w14:paraId="03389070" w14:textId="77777777" w:rsidR="00ED7F7C" w:rsidRDefault="00CD09D0">
      <w:pPr>
        <w:keepNext/>
        <w:snapToGrid w:val="0"/>
        <w:jc w:val="both"/>
      </w:pPr>
      <w:r>
        <w:t>我們選擇</w:t>
      </w:r>
      <w:r>
        <w:t>Raspberry Pi 5</w:t>
      </w:r>
      <w:r>
        <w:t>的</w:t>
      </w:r>
      <w:r>
        <w:t>8GB</w:t>
      </w:r>
      <w:r>
        <w:t>記憶體版本作為原型平台，安裝</w:t>
      </w:r>
      <w:r>
        <w:t>64</w:t>
      </w:r>
      <w:r>
        <w:t>位元</w:t>
      </w:r>
      <w:r>
        <w:t>Linux</w:t>
      </w:r>
      <w:r>
        <w:t>，負責資料接收、特徵計算、模型推論與暫存。原廠列有四核心處理器、</w:t>
      </w:r>
      <w:r>
        <w:t>Gigabit Ethernet</w:t>
      </w:r>
      <w:r>
        <w:t>及雙頻</w:t>
      </w:r>
      <w:r>
        <w:t>Wi-Fi</w:t>
      </w:r>
      <w:r>
        <w:t>，可作為本設計的介面依據。</w:t>
      </w:r>
      <w:r>
        <w:t>[2]DAQ</w:t>
      </w:r>
      <w:r>
        <w:t>接有線網路，</w:t>
      </w:r>
      <w:r>
        <w:t>MQTT</w:t>
      </w:r>
      <w:r>
        <w:t>使用核准的無線網路；模型訓練則放在開發電腦，避免擠占擷取資源。裝置加裝散熱器與風扇，監看</w:t>
      </w:r>
      <w:r>
        <w:t>CPU</w:t>
      </w:r>
      <w:r>
        <w:t>溫度、記憶體和磁碟容量。若後續大型模型超出負荷，再評估</w:t>
      </w:r>
      <w:r>
        <w:t>Jetson</w:t>
      </w:r>
      <w:r>
        <w:t>或工業電腦，不把</w:t>
      </w:r>
      <w:r>
        <w:t>GPU</w:t>
      </w:r>
      <w:r>
        <w:t>列為本次必要設備。</w:t>
      </w:r>
      <w:r>
        <w:t>(</w:t>
      </w:r>
      <w:r>
        <w:t>如圖</w:t>
      </w:r>
      <w:r>
        <w:t>1)</w:t>
      </w:r>
    </w:p>
    <w:p w14:paraId="2C09D096"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【圖片預留】預留實際選用裝置照片，標示</w:t>
      </w:r>
      <w:r>
        <w:rPr>
          <w:color w:val="5B6570"/>
          <w:sz w:val="19"/>
        </w:rPr>
        <w:t>DAQ</w:t>
      </w:r>
      <w:r>
        <w:rPr>
          <w:color w:val="5B6570"/>
          <w:sz w:val="19"/>
        </w:rPr>
        <w:t>與網路連接位置。</w:t>
      </w:r>
    </w:p>
    <w:p w14:paraId="0F93D14E" w14:textId="77777777" w:rsidR="00ED7F7C" w:rsidRDefault="00CD09D0">
      <w:pPr>
        <w:pStyle w:val="af7"/>
        <w:snapToGrid w:val="0"/>
        <w:spacing w:after="200"/>
        <w:jc w:val="center"/>
      </w:pPr>
      <w:r>
        <w:t>圖</w:t>
      </w:r>
      <w:r>
        <w:t>1</w:t>
      </w:r>
      <w:r>
        <w:t>、邊緣運算裝置、散熱與有線／無線介面配置（插圖待補）</w:t>
      </w:r>
    </w:p>
    <w:p w14:paraId="34D15A67" w14:textId="77777777" w:rsidR="00ED7F7C" w:rsidRDefault="00CD09D0">
      <w:pPr>
        <w:pStyle w:val="31"/>
        <w:snapToGrid w:val="0"/>
      </w:pPr>
      <w:bookmarkStart w:id="10" w:name="_Toc242566350"/>
      <w:r>
        <w:t>(</w:t>
      </w:r>
      <w:r>
        <w:t>二</w:t>
      </w:r>
      <w:r>
        <w:t xml:space="preserve">) </w:t>
      </w:r>
      <w:r>
        <w:t>同步資料擷取模組（</w:t>
      </w:r>
      <w:r>
        <w:t>DAQ</w:t>
      </w:r>
      <w:r>
        <w:t>）</w:t>
      </w:r>
      <w:bookmarkEnd w:id="10"/>
    </w:p>
    <w:p w14:paraId="5E85FCAE" w14:textId="77777777" w:rsidR="00ED7F7C" w:rsidRDefault="00CD09D0">
      <w:pPr>
        <w:keepNext/>
        <w:snapToGrid w:val="0"/>
        <w:jc w:val="both"/>
      </w:pPr>
      <w:r>
        <w:t>DAQ</w:t>
      </w:r>
      <w:r>
        <w:t>最低需求為四通道同步取樣、</w:t>
      </w:r>
      <w:r>
        <w:t>24</w:t>
      </w:r>
      <w:r>
        <w:t>位元轉換、每通道</w:t>
      </w:r>
      <w:r>
        <w:t>25.6 kS/s</w:t>
      </w:r>
      <w:r>
        <w:t>，並具有抗混疊濾波及可個別開關的</w:t>
      </w:r>
      <w:r>
        <w:t>IEPE</w:t>
      </w:r>
      <w:r>
        <w:t>激勵。兩通道接震動、一通道接電流電壓輸出，另一通道保留。</w:t>
      </w:r>
      <w:r>
        <w:t>NI USB-4431</w:t>
      </w:r>
      <w:r>
        <w:t>官方資料可作為同步取樣、</w:t>
      </w:r>
      <w:r>
        <w:t>IEPE</w:t>
      </w:r>
      <w:r>
        <w:t>及抗混疊功能的規格參考，但不是本案已確認可直接連接</w:t>
      </w:r>
      <w:r>
        <w:t>Raspberry Pi</w:t>
      </w:r>
      <w:r>
        <w:t>的型號。</w:t>
      </w:r>
      <w:r>
        <w:t>[11]</w:t>
      </w:r>
      <w:r>
        <w:t>原型優先借用具有乙太網路資料串流、硬體取樣計數與公開通訊文件的</w:t>
      </w:r>
      <w:r>
        <w:t>DAQ</w:t>
      </w:r>
      <w:r>
        <w:t>；須實測</w:t>
      </w:r>
      <w:r>
        <w:t>Linux ARM64</w:t>
      </w:r>
      <w:r>
        <w:t>收包、長時間穩定度及丟包回報。若找不到相容產品，改用原廠支援的</w:t>
      </w:r>
      <w:r>
        <w:t>x86</w:t>
      </w:r>
      <w:r>
        <w:t>擷取閘道，並重新核算成本，不能假定插上</w:t>
      </w:r>
      <w:r>
        <w:t>USB</w:t>
      </w:r>
      <w:r>
        <w:t>即可使用。</w:t>
      </w:r>
      <w:r>
        <w:t>(</w:t>
      </w:r>
      <w:r>
        <w:t>如圖</w:t>
      </w:r>
      <w:r>
        <w:t>2)</w:t>
      </w:r>
    </w:p>
    <w:p w14:paraId="553B8231"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【圖片預留】預留實際</w:t>
      </w:r>
      <w:r>
        <w:rPr>
          <w:color w:val="5B6570"/>
          <w:sz w:val="19"/>
        </w:rPr>
        <w:t>DAQ</w:t>
      </w:r>
      <w:r>
        <w:rPr>
          <w:color w:val="5B6570"/>
          <w:sz w:val="19"/>
        </w:rPr>
        <w:t>照片及端子圖；</w:t>
      </w:r>
      <w:r>
        <w:rPr>
          <w:color w:val="5B6570"/>
          <w:sz w:val="19"/>
        </w:rPr>
        <w:t>IEPE</w:t>
      </w:r>
      <w:r>
        <w:rPr>
          <w:color w:val="5B6570"/>
          <w:sz w:val="19"/>
        </w:rPr>
        <w:t>與電流通道應分別標示。</w:t>
      </w:r>
    </w:p>
    <w:p w14:paraId="66FE699D" w14:textId="77777777" w:rsidR="00ED7F7C" w:rsidRDefault="00CD09D0">
      <w:pPr>
        <w:pStyle w:val="af7"/>
        <w:snapToGrid w:val="0"/>
        <w:spacing w:after="200"/>
        <w:jc w:val="center"/>
      </w:pPr>
      <w:r>
        <w:t>圖</w:t>
      </w:r>
      <w:r>
        <w:t>2</w:t>
      </w:r>
      <w:r>
        <w:t>、</w:t>
      </w:r>
      <w:r>
        <w:t>DAQ</w:t>
      </w:r>
      <w:r>
        <w:t>通道分配與訊號調理接線（插圖待補）</w:t>
      </w:r>
    </w:p>
    <w:p w14:paraId="4926A7BE" w14:textId="77777777" w:rsidR="00ED7F7C" w:rsidRDefault="00CD09D0">
      <w:pPr>
        <w:pStyle w:val="31"/>
        <w:snapToGrid w:val="0"/>
      </w:pPr>
      <w:bookmarkStart w:id="11" w:name="_Toc242566351"/>
      <w:r>
        <w:lastRenderedPageBreak/>
        <w:t>(</w:t>
      </w:r>
      <w:r>
        <w:t>三</w:t>
      </w:r>
      <w:r>
        <w:t xml:space="preserve">) </w:t>
      </w:r>
      <w:r>
        <w:t>高頻震動感測器</w:t>
      </w:r>
      <w:bookmarkEnd w:id="11"/>
    </w:p>
    <w:p w14:paraId="6AFDF997" w14:textId="77777777" w:rsidR="00ED7F7C" w:rsidRDefault="00CD09D0">
      <w:pPr>
        <w:keepNext/>
        <w:snapToGrid w:val="0"/>
        <w:jc w:val="both"/>
      </w:pPr>
      <w:r>
        <w:t>規劃使用兩支單軸</w:t>
      </w:r>
      <w:r>
        <w:t>IEPE</w:t>
      </w:r>
      <w:r>
        <w:t>加速度感測器，分別固定在泵體與馬達側可接近的剛性量測位置，方向優先涵蓋徑向和軸向。初選條件為量程約</w:t>
      </w:r>
      <w:r>
        <w:t>±50 g</w:t>
      </w:r>
      <w:r>
        <w:t>、有效分析頻帶</w:t>
      </w:r>
      <w:r>
        <w:t>10 Hz</w:t>
      </w:r>
      <w:r>
        <w:t>至</w:t>
      </w:r>
      <w:r>
        <w:t>5 kHz</w:t>
      </w:r>
      <w:r>
        <w:t>，實際靈敏度及可用頻帶以校正單為準。固定方式以原廠允許的螺柱或專用黏著座為主，不在泵體任意鑽孔，也不以鬆動外蓋作量測基準。若改用</w:t>
      </w:r>
      <w:r>
        <w:t>ADXL1002</w:t>
      </w:r>
      <w:r>
        <w:t>等類比</w:t>
      </w:r>
      <w:r>
        <w:t>MEMS</w:t>
      </w:r>
      <w:r>
        <w:t>元件，雖然原廠列有高頻響應，仍須另做電源、偏壓與訊號調理，不能直接當成</w:t>
      </w:r>
      <w:r>
        <w:t>IEPE</w:t>
      </w:r>
      <w:r>
        <w:t>替換品。</w:t>
      </w:r>
      <w:r>
        <w:t>[9]</w:t>
      </w:r>
      <w:r>
        <w:t>不同感測器或位置需重新建立基準。</w:t>
      </w:r>
      <w:r>
        <w:t>(</w:t>
      </w:r>
      <w:r>
        <w:t>如圖</w:t>
      </w:r>
      <w:r>
        <w:t>3)</w:t>
      </w:r>
    </w:p>
    <w:p w14:paraId="2C5D0055"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【圖片預留】預留泵體與馬達側量測點照片，附方向箭頭及位置編號。</w:t>
      </w:r>
    </w:p>
    <w:p w14:paraId="06E274B4" w14:textId="77777777" w:rsidR="00ED7F7C" w:rsidRDefault="00CD09D0">
      <w:pPr>
        <w:pStyle w:val="af7"/>
        <w:snapToGrid w:val="0"/>
        <w:spacing w:after="200"/>
        <w:jc w:val="center"/>
      </w:pPr>
      <w:r>
        <w:t>圖</w:t>
      </w:r>
      <w:r>
        <w:t>3</w:t>
      </w:r>
      <w:r>
        <w:t>、震動感測器位置、方向與固定方式（插圖待補）</w:t>
      </w:r>
    </w:p>
    <w:p w14:paraId="38A3DD3B" w14:textId="77777777" w:rsidR="00ED7F7C" w:rsidRDefault="00CD09D0">
      <w:pPr>
        <w:pStyle w:val="31"/>
        <w:snapToGrid w:val="0"/>
      </w:pPr>
      <w:bookmarkStart w:id="12" w:name="_Toc242566352"/>
      <w:r>
        <w:t>(</w:t>
      </w:r>
      <w:r>
        <w:t>四</w:t>
      </w:r>
      <w:r>
        <w:t xml:space="preserve">) </w:t>
      </w:r>
      <w:r>
        <w:t>隔離式電流感測器</w:t>
      </w:r>
      <w:bookmarkEnd w:id="12"/>
    </w:p>
    <w:p w14:paraId="016AF0FC" w14:textId="77777777" w:rsidR="00ED7F7C" w:rsidRDefault="00CD09D0">
      <w:pPr>
        <w:keepNext/>
        <w:snapToGrid w:val="0"/>
        <w:jc w:val="both"/>
      </w:pPr>
      <w:r>
        <w:t>電流通道採具有足夠安全額定值的隔離式霍爾感測器或量測探棒，量程依馬達銘牌及啟動電流選定，輸出經調理後落在</w:t>
      </w:r>
      <w:r>
        <w:t>DAQ</w:t>
      </w:r>
      <w:r>
        <w:t>容許範圍。原型只量測泵浦電源側的一條相線，不將整條多芯電纜一起穿入探頭；三相設備的單相量測只作負載趨勢，不代表三相不平衡或完整馬達故障診斷。由具資格人員依斷電、確認無電及復電程序施工。電流通道關閉</w:t>
      </w:r>
      <w:r>
        <w:t>IEPE</w:t>
      </w:r>
      <w:r>
        <w:t>激勵，並確認輸出端參考地和隔離條件。初步分析</w:t>
      </w:r>
      <w:r>
        <w:t>RMS</w:t>
      </w:r>
      <w:r>
        <w:t>、峰值與低頻諧波，不直接量測變頻器</w:t>
      </w:r>
      <w:r>
        <w:t>PWM</w:t>
      </w:r>
      <w:r>
        <w:t>輸出，以降低安裝風險與頻寬需求。</w:t>
      </w:r>
      <w:r>
        <w:t>(</w:t>
      </w:r>
      <w:r>
        <w:t>如圖</w:t>
      </w:r>
      <w:r>
        <w:t>4)</w:t>
      </w:r>
    </w:p>
    <w:p w14:paraId="7EABB122"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【圖片預留】預留安全接線示意；不得以裸露帶電導體示範操作。</w:t>
      </w:r>
    </w:p>
    <w:p w14:paraId="1BB77165" w14:textId="77777777" w:rsidR="00ED7F7C" w:rsidRDefault="00CD09D0">
      <w:pPr>
        <w:pStyle w:val="af7"/>
        <w:snapToGrid w:val="0"/>
        <w:spacing w:after="200"/>
        <w:jc w:val="center"/>
      </w:pPr>
      <w:r>
        <w:t>圖</w:t>
      </w:r>
      <w:r>
        <w:t>4</w:t>
      </w:r>
      <w:r>
        <w:t>、電流量測位置與隔離訊號路徑（插圖待補）</w:t>
      </w:r>
    </w:p>
    <w:p w14:paraId="67860170" w14:textId="77777777" w:rsidR="00ED7F7C" w:rsidRDefault="00CD09D0">
      <w:pPr>
        <w:pStyle w:val="31"/>
        <w:snapToGrid w:val="0"/>
      </w:pPr>
      <w:bookmarkStart w:id="13" w:name="_Toc242566353"/>
      <w:r>
        <w:t>(</w:t>
      </w:r>
      <w:r>
        <w:t>五</w:t>
      </w:r>
      <w:r>
        <w:t xml:space="preserve">) </w:t>
      </w:r>
      <w:r>
        <w:t>溫度感測器與轉換模組</w:t>
      </w:r>
      <w:bookmarkEnd w:id="13"/>
    </w:p>
    <w:p w14:paraId="1AF2060C" w14:textId="77777777" w:rsidR="00ED7F7C" w:rsidRDefault="00CD09D0">
      <w:pPr>
        <w:keepNext/>
        <w:snapToGrid w:val="0"/>
        <w:jc w:val="both"/>
      </w:pPr>
      <w:r>
        <w:t>溫度量測規劃採三線式</w:t>
      </w:r>
      <w:r>
        <w:t>PT100</w:t>
      </w:r>
      <w:r>
        <w:t>搭配合適的</w:t>
      </w:r>
      <w:r>
        <w:t>RTD</w:t>
      </w:r>
      <w:r>
        <w:t>轉換器，並以隔離式介面接入系統。至少記錄泵體外表面及周圍環境兩個溫度，取樣率設定為</w:t>
      </w:r>
      <w:r>
        <w:t>1 Hz</w:t>
      </w:r>
      <w:r>
        <w:t>。表面探頭以適當夾具固定，確認接觸與耐溫，並避開轉動件、維修開口及排氣高溫危險區。分析時同時觀察外殼溫度、相對環境溫升與一分鐘升溫趨勢，避免只用絕對值比較不同室溫。外殼溫度有熱慣性，不等同內部軸承溫度；我們會以參考溫度計做比對並保留偏差紀錄，而不把顯示的小數位數當成精度。</w:t>
      </w:r>
      <w:r>
        <w:t>(</w:t>
      </w:r>
      <w:r>
        <w:t>如圖</w:t>
      </w:r>
      <w:r>
        <w:t>5)</w:t>
      </w:r>
    </w:p>
    <w:p w14:paraId="51DEC476"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【圖片預留】預留探頭固定照片及</w:t>
      </w:r>
      <w:r>
        <w:rPr>
          <w:color w:val="5B6570"/>
          <w:sz w:val="19"/>
        </w:rPr>
        <w:t>RTD</w:t>
      </w:r>
      <w:r>
        <w:rPr>
          <w:color w:val="5B6570"/>
          <w:sz w:val="19"/>
        </w:rPr>
        <w:t>模組接線。</w:t>
      </w:r>
    </w:p>
    <w:p w14:paraId="6A23D55B" w14:textId="77777777" w:rsidR="00ED7F7C" w:rsidRDefault="00CD09D0">
      <w:pPr>
        <w:pStyle w:val="af7"/>
        <w:snapToGrid w:val="0"/>
        <w:spacing w:after="200"/>
        <w:jc w:val="center"/>
      </w:pPr>
      <w:r>
        <w:t>圖</w:t>
      </w:r>
      <w:r>
        <w:t>5</w:t>
      </w:r>
      <w:r>
        <w:t>、</w:t>
      </w:r>
      <w:r>
        <w:t>PT100</w:t>
      </w:r>
      <w:r>
        <w:t>表面與環境量測點配置（插圖待補）</w:t>
      </w:r>
    </w:p>
    <w:p w14:paraId="7BBCF2E0" w14:textId="77777777" w:rsidR="00ED7F7C" w:rsidRDefault="00CD09D0">
      <w:pPr>
        <w:pStyle w:val="31"/>
        <w:snapToGrid w:val="0"/>
      </w:pPr>
      <w:bookmarkStart w:id="14" w:name="_Toc242566354"/>
      <w:r>
        <w:lastRenderedPageBreak/>
        <w:t>(</w:t>
      </w:r>
      <w:r>
        <w:t>六</w:t>
      </w:r>
      <w:r>
        <w:t xml:space="preserve">) </w:t>
      </w:r>
      <w:r>
        <w:t>工況參數擷取介面</w:t>
      </w:r>
      <w:bookmarkEnd w:id="14"/>
    </w:p>
    <w:p w14:paraId="1ABE6E05" w14:textId="77777777" w:rsidR="00ED7F7C" w:rsidRDefault="00CD09D0">
      <w:pPr>
        <w:keepNext/>
        <w:snapToGrid w:val="0"/>
        <w:jc w:val="both"/>
      </w:pPr>
      <w:r>
        <w:t>跨工況判斷需要知道機台正在做什麼，因此規劃透過原廠允許的唯讀</w:t>
      </w:r>
      <w:r>
        <w:t>RS-485</w:t>
      </w:r>
      <w:r>
        <w:t>／</w:t>
      </w:r>
      <w:r>
        <w:t>Modbus</w:t>
      </w:r>
      <w:r>
        <w:t>或資料匯出介面，取得運轉狀態、轉速及製程階段；教學平台則由操作紀錄提供階段標記。入口壓力優先讀取既有真空計，若需加裝，須選擇適合壓力範圍和氣體相容性的量測器，且不得私自改動真空管路。工況資料附帶時間與更新週期，不把手動標籤當成即時精密訊號。若轉速無法取得，就不計算需要轉速的階次特徵；若工況資訊缺失，畫面顯示「工況不明」，不自動套用最接近的正常狀態。</w:t>
      </w:r>
      <w:r>
        <w:t>(</w:t>
      </w:r>
      <w:r>
        <w:t>如圖</w:t>
      </w:r>
      <w:r>
        <w:t>6)</w:t>
      </w:r>
    </w:p>
    <w:p w14:paraId="168F6600"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【圖片預留】預留既有設備接口或隔離轉接器照片，不呈現機密製程內容。</w:t>
      </w:r>
    </w:p>
    <w:p w14:paraId="1648B99C" w14:textId="77777777" w:rsidR="00ED7F7C" w:rsidRDefault="00CD09D0">
      <w:pPr>
        <w:pStyle w:val="af7"/>
        <w:snapToGrid w:val="0"/>
        <w:spacing w:after="200"/>
        <w:jc w:val="center"/>
      </w:pPr>
      <w:r>
        <w:t>圖</w:t>
      </w:r>
      <w:r>
        <w:t>6</w:t>
      </w:r>
      <w:r>
        <w:t>、轉速、壓力及運轉階段的唯讀擷取介面（插圖待補）</w:t>
      </w:r>
    </w:p>
    <w:p w14:paraId="7F056491" w14:textId="77777777" w:rsidR="00ED7F7C" w:rsidRDefault="00CD09D0">
      <w:pPr>
        <w:pStyle w:val="31"/>
        <w:snapToGrid w:val="0"/>
      </w:pPr>
      <w:bookmarkStart w:id="15" w:name="_Toc242566355"/>
      <w:r>
        <w:t>(</w:t>
      </w:r>
      <w:r>
        <w:t>七</w:t>
      </w:r>
      <w:r>
        <w:t xml:space="preserve">) </w:t>
      </w:r>
      <w:r>
        <w:t>網路通訊設備</w:t>
      </w:r>
      <w:bookmarkEnd w:id="15"/>
    </w:p>
    <w:p w14:paraId="0CF01926" w14:textId="77777777" w:rsidR="00ED7F7C" w:rsidRDefault="00CD09D0">
      <w:pPr>
        <w:keepNext/>
        <w:snapToGrid w:val="0"/>
        <w:jc w:val="both"/>
      </w:pPr>
      <w:r>
        <w:t>DAQ</w:t>
      </w:r>
      <w:r>
        <w:t>與邊緣裝置之間使用有線乙太網路及固定設備位址，讓高頻資料流不受</w:t>
      </w:r>
      <w:r>
        <w:t>Wi-Fi</w:t>
      </w:r>
      <w:r>
        <w:t>訊號波動直接影響。邊緣裝置再透過核准的無線基地台與伺服器交換</w:t>
      </w:r>
      <w:r>
        <w:t>MQTT</w:t>
      </w:r>
      <w:r>
        <w:t>資料，教學測試先使用隔離區域網路。安裝時檢查金屬機櫃遮蔽、訊號強度、網路延遲及重新連線時間。實際進入工廠須遵守資訊安全規範；若現場禁止無線通訊，保留</w:t>
      </w:r>
      <w:r>
        <w:t>MQTT</w:t>
      </w:r>
      <w:r>
        <w:t>協定但改走有線網路。系統不把個人手機熱點當成正式維護網路，也不將設備直接暴露在公共網際網路。</w:t>
      </w:r>
      <w:r>
        <w:t>(</w:t>
      </w:r>
      <w:r>
        <w:t>如圖</w:t>
      </w:r>
      <w:r>
        <w:t>7)</w:t>
      </w:r>
    </w:p>
    <w:p w14:paraId="72016DB1"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w:t>
      </w:r>
      <w:r>
        <w:rPr>
          <w:color w:val="5B6570"/>
          <w:sz w:val="19"/>
        </w:rPr>
        <w:t>DAQ</w:t>
      </w:r>
      <w:r>
        <w:rPr>
          <w:color w:val="5B6570"/>
          <w:sz w:val="19"/>
        </w:rPr>
        <w:t>、邊緣端、基地台及伺服器的連線示意。</w:t>
      </w:r>
    </w:p>
    <w:p w14:paraId="3BDA038E" w14:textId="77777777" w:rsidR="00ED7F7C" w:rsidRDefault="00CD09D0">
      <w:pPr>
        <w:pStyle w:val="af7"/>
        <w:snapToGrid w:val="0"/>
        <w:spacing w:after="200"/>
        <w:jc w:val="center"/>
      </w:pPr>
      <w:r>
        <w:t>圖</w:t>
      </w:r>
      <w:r>
        <w:t>7</w:t>
      </w:r>
      <w:r>
        <w:t>、有線擷取與</w:t>
      </w:r>
      <w:r>
        <w:t>MQTT Wi-Fi</w:t>
      </w:r>
      <w:r>
        <w:t>網路配置（插圖待補）</w:t>
      </w:r>
    </w:p>
    <w:p w14:paraId="35C739ED" w14:textId="77777777" w:rsidR="00ED7F7C" w:rsidRDefault="00CD09D0">
      <w:pPr>
        <w:pStyle w:val="31"/>
        <w:snapToGrid w:val="0"/>
      </w:pPr>
      <w:bookmarkStart w:id="16" w:name="_Toc242566356"/>
      <w:r>
        <w:t>(</w:t>
      </w:r>
      <w:r>
        <w:t>八</w:t>
      </w:r>
      <w:r>
        <w:t xml:space="preserve">) </w:t>
      </w:r>
      <w:r>
        <w:t>電源、儲存與保護機構</w:t>
      </w:r>
      <w:bookmarkEnd w:id="16"/>
    </w:p>
    <w:p w14:paraId="3705FCAF" w14:textId="77777777" w:rsidR="00ED7F7C" w:rsidRDefault="00CD09D0">
      <w:pPr>
        <w:keepNext/>
        <w:snapToGrid w:val="0"/>
        <w:jc w:val="both"/>
      </w:pPr>
      <w:r>
        <w:t>邊緣裝置使用符合規格的獨立電源，</w:t>
      </w:r>
      <w:r>
        <w:t>DAQ</w:t>
      </w:r>
      <w:r>
        <w:t>與感測器依需求配置供電與保護，並設置端子標籤、接地、保險絲、屏蔽接頭及線材固定。資料存入</w:t>
      </w:r>
      <w:r>
        <w:t>SSD</w:t>
      </w:r>
      <w:r>
        <w:t>，重要設定與模型定期備份，避免只依靠記憶卡反覆寫入。可加裝小型不斷電供應設備，僅支援監測模組完成資料落盤與安全關機，不作為泵浦動力備援。外箱採可散熱且具防觸碰能力的形式，與泵體熱源保持距離；聲光指示只表達預警狀態，不與原廠急停或安全連鎖混接。</w:t>
      </w:r>
      <w:r>
        <w:t>(</w:t>
      </w:r>
      <w:r>
        <w:t>如圖</w:t>
      </w:r>
      <w:r>
        <w:t>8)</w:t>
      </w:r>
    </w:p>
    <w:p w14:paraId="7BBB9944"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【圖片預留】預留實際配線與外觀照片；標示動力與訊號線分區。</w:t>
      </w:r>
    </w:p>
    <w:p w14:paraId="66F3C1C8" w14:textId="77777777" w:rsidR="00ED7F7C" w:rsidRDefault="00CD09D0">
      <w:pPr>
        <w:pStyle w:val="af7"/>
        <w:snapToGrid w:val="0"/>
        <w:spacing w:after="200"/>
        <w:jc w:val="center"/>
      </w:pPr>
      <w:r>
        <w:t>圖</w:t>
      </w:r>
      <w:r>
        <w:t>8</w:t>
      </w:r>
      <w:r>
        <w:t>、監測箱內部電源、</w:t>
      </w:r>
      <w:r>
        <w:t>SSD</w:t>
      </w:r>
      <w:r>
        <w:t>與線材保護配置（插圖待補）</w:t>
      </w:r>
    </w:p>
    <w:p w14:paraId="305E0E11" w14:textId="77777777" w:rsidR="00ED7F7C" w:rsidRDefault="00CD09D0">
      <w:pPr>
        <w:pStyle w:val="21"/>
        <w:snapToGrid w:val="0"/>
      </w:pPr>
      <w:bookmarkStart w:id="17" w:name="_Toc242566357"/>
      <w:r>
        <w:lastRenderedPageBreak/>
        <w:t>三、相關軟體</w:t>
      </w:r>
      <w:bookmarkEnd w:id="17"/>
    </w:p>
    <w:p w14:paraId="234E780C" w14:textId="77777777" w:rsidR="00ED7F7C" w:rsidRDefault="00CD09D0">
      <w:pPr>
        <w:pStyle w:val="31"/>
        <w:snapToGrid w:val="0"/>
      </w:pPr>
      <w:bookmarkStart w:id="18" w:name="_Toc242566358"/>
      <w:r>
        <w:t>(</w:t>
      </w:r>
      <w:r>
        <w:t>一</w:t>
      </w:r>
      <w:r>
        <w:t>) Python</w:t>
      </w:r>
      <w:r>
        <w:t>資料處理與通訊程式</w:t>
      </w:r>
      <w:bookmarkEnd w:id="18"/>
    </w:p>
    <w:p w14:paraId="14601DFB" w14:textId="77777777" w:rsidR="00ED7F7C" w:rsidRDefault="00CD09D0">
      <w:pPr>
        <w:keepNext/>
        <w:snapToGrid w:val="0"/>
        <w:jc w:val="both"/>
      </w:pPr>
      <w:r>
        <w:t>Python</w:t>
      </w:r>
      <w:r>
        <w:t>作為主要整合語言，利用</w:t>
      </w:r>
      <w:r>
        <w:t>NumPy</w:t>
      </w:r>
      <w:r>
        <w:t>、</w:t>
      </w:r>
      <w:r>
        <w:t>SciPy</w:t>
      </w:r>
      <w:r>
        <w:t>及</w:t>
      </w:r>
      <w:r>
        <w:t>pandas</w:t>
      </w:r>
      <w:r>
        <w:t>完成單位換算、視窗切分、濾波、頻譜與特徵計算；以</w:t>
      </w:r>
      <w:r>
        <w:t>Paho MQTT</w:t>
      </w:r>
      <w:r>
        <w:t>負責通訊，伺服器端搭配</w:t>
      </w:r>
      <w:r>
        <w:t>Mosquitto</w:t>
      </w:r>
      <w:r>
        <w:t>訊息代理。程式分為擷取、分析、寫檔與傳輸四個工作單元，以有界佇列串接，任何佇列滿載都必須記錄，而不是靜默丟資料。原始資料不因網路中斷停止擷取；程式啟動時檢查設定、通道和模型版本。所有套件採測試後固定版本，保存安裝清單及操作日誌，並用離線資料回放驗證修改前後的輸出。</w:t>
      </w:r>
      <w:r>
        <w:t>(</w:t>
      </w:r>
      <w:r>
        <w:t>如圖</w:t>
      </w:r>
      <w:r>
        <w:t>9)</w:t>
      </w:r>
    </w:p>
    <w:p w14:paraId="466AF3CF"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【圖片預留】預留程式架構圖或執行紀錄截圖，遮蔽帳密及權杖。</w:t>
      </w:r>
    </w:p>
    <w:p w14:paraId="10182CEF" w14:textId="77777777" w:rsidR="00ED7F7C" w:rsidRDefault="00CD09D0">
      <w:pPr>
        <w:pStyle w:val="af7"/>
        <w:snapToGrid w:val="0"/>
        <w:spacing w:after="200"/>
        <w:jc w:val="center"/>
      </w:pPr>
      <w:r>
        <w:t>圖</w:t>
      </w:r>
      <w:r>
        <w:t>9</w:t>
      </w:r>
      <w:r>
        <w:t>、</w:t>
      </w:r>
      <w:r>
        <w:t>Python</w:t>
      </w:r>
      <w:r>
        <w:t>程式模組與資料處理工作流程（插圖待補）</w:t>
      </w:r>
    </w:p>
    <w:p w14:paraId="0A809369" w14:textId="77777777" w:rsidR="00ED7F7C" w:rsidRDefault="00CD09D0">
      <w:pPr>
        <w:pStyle w:val="31"/>
        <w:snapToGrid w:val="0"/>
      </w:pPr>
      <w:bookmarkStart w:id="19" w:name="_Toc242566359"/>
      <w:r>
        <w:t>(</w:t>
      </w:r>
      <w:r>
        <w:t>二</w:t>
      </w:r>
      <w:r>
        <w:t>) AI</w:t>
      </w:r>
      <w:r>
        <w:t>模型框架</w:t>
      </w:r>
      <w:bookmarkEnd w:id="19"/>
    </w:p>
    <w:p w14:paraId="01A3DAAC" w14:textId="77777777" w:rsidR="00ED7F7C" w:rsidRDefault="00CD09D0">
      <w:pPr>
        <w:keepNext/>
        <w:snapToGrid w:val="0"/>
        <w:jc w:val="both"/>
      </w:pPr>
      <w:r>
        <w:t>以</w:t>
      </w:r>
      <w:r>
        <w:t>scikit-learn</w:t>
      </w:r>
      <w:r>
        <w:t>的</w:t>
      </w:r>
      <w:r>
        <w:t>Isolation Forest</w:t>
      </w:r>
      <w:r>
        <w:t>作為主模型，輸入每個時間窗的多模態特徵；此演算法以隨機切分隔離樣本，較容易被隔離的樣本具有較高異常可能性。</w:t>
      </w:r>
      <w:r>
        <w:t>[3]</w:t>
      </w:r>
      <w:r>
        <w:t>初始設定採</w:t>
      </w:r>
      <w:r>
        <w:t>200</w:t>
      </w:r>
      <w:r>
        <w:t>棵樹、固定隨機種子，分數使用負的</w:t>
      </w:r>
      <w:r>
        <w:t>score_samples</w:t>
      </w:r>
      <w:r>
        <w:t>，統一成「越大越異常」，不直接把套件預設</w:t>
      </w:r>
      <w:r>
        <w:t>contamination</w:t>
      </w:r>
      <w:r>
        <w:t>當成現場故障比例。另使用</w:t>
      </w:r>
      <w:r>
        <w:t>Keras</w:t>
      </w:r>
      <w:r>
        <w:t>建立小型一維卷積</w:t>
      </w:r>
      <w:r>
        <w:t>Autoencoder</w:t>
      </w:r>
      <w:r>
        <w:t>作比較，以過去</w:t>
      </w:r>
      <w:r>
        <w:t>30</w:t>
      </w:r>
      <w:r>
        <w:t>個特徵時間點重建輸入序列，評估重建誤差。</w:t>
      </w:r>
      <w:r>
        <w:t>[4][8]</w:t>
      </w:r>
      <w:r>
        <w:t>主模型不必等待</w:t>
      </w:r>
      <w:r>
        <w:t>30</w:t>
      </w:r>
      <w:r>
        <w:t>秒序列填滿；比較模型則在緩衝未滿時標記未就緒。兩種模型各自校準，不任意平均不同尺度的分數。</w:t>
      </w:r>
      <w:r>
        <w:t>(</w:t>
      </w:r>
      <w:r>
        <w:t>如圖</w:t>
      </w:r>
      <w:r>
        <w:t>10)</w:t>
      </w:r>
    </w:p>
    <w:p w14:paraId="06089C74" w14:textId="77777777" w:rsidR="00ED7F7C" w:rsidRDefault="00CD09D0">
      <w:pPr>
        <w:keepNext/>
        <w:snapToGrid w:val="0"/>
        <w:spacing w:before="100" w:after="60" w:line="240" w:lineRule="auto"/>
        <w:ind w:firstLine="0"/>
        <w:jc w:val="center"/>
      </w:pPr>
      <w:r>
        <w:rPr>
          <w:noProof/>
        </w:rPr>
        <w:drawing>
          <wp:inline distT="0" distB="0" distL="0" distR="0" wp14:anchorId="10CC5E14" wp14:editId="0B41E0D7">
            <wp:extent cx="5688000" cy="2785959"/>
            <wp:effectExtent l="0" t="0" r="0" b="0"/>
            <wp:docPr id="1" name="圖10－Isolation Forest與Autoencoder的比較設計及訓練曲線格式" descr="合成資料與方法示意，非實測結果；右側損失曲線由數學公式繪製，不能作為已完成模型訓練的證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0.png"/>
                    <pic:cNvPicPr/>
                  </pic:nvPicPr>
                  <pic:blipFill>
                    <a:blip r:embed="rId10"/>
                    <a:stretch>
                      <a:fillRect/>
                    </a:stretch>
                  </pic:blipFill>
                  <pic:spPr>
                    <a:xfrm>
                      <a:off x="0" y="0"/>
                      <a:ext cx="5688000" cy="2785959"/>
                    </a:xfrm>
                    <a:prstGeom prst="rect">
                      <a:avLst/>
                    </a:prstGeom>
                  </pic:spPr>
                </pic:pic>
              </a:graphicData>
            </a:graphic>
          </wp:inline>
        </w:drawing>
      </w:r>
    </w:p>
    <w:p w14:paraId="1366C8D0" w14:textId="1DEFD1B7" w:rsidR="00ED7F7C" w:rsidRDefault="00CD09D0">
      <w:pPr>
        <w:pStyle w:val="af7"/>
        <w:snapToGrid w:val="0"/>
        <w:spacing w:after="200"/>
        <w:jc w:val="center"/>
      </w:pPr>
      <w:r>
        <w:rPr>
          <w:sz w:val="19"/>
        </w:rPr>
        <w:t>圖</w:t>
      </w:r>
      <w:r>
        <w:rPr>
          <w:sz w:val="19"/>
        </w:rPr>
        <w:t>10</w:t>
      </w:r>
      <w:r>
        <w:rPr>
          <w:sz w:val="19"/>
        </w:rPr>
        <w:t>、</w:t>
      </w:r>
      <w:r>
        <w:rPr>
          <w:sz w:val="19"/>
        </w:rPr>
        <w:t>Isolation Forest</w:t>
      </w:r>
      <w:r>
        <w:rPr>
          <w:sz w:val="19"/>
        </w:rPr>
        <w:t>與</w:t>
      </w:r>
      <w:r>
        <w:rPr>
          <w:sz w:val="19"/>
        </w:rPr>
        <w:t>Autoencoder</w:t>
      </w:r>
      <w:r>
        <w:rPr>
          <w:sz w:val="19"/>
        </w:rPr>
        <w:t>的比較設計及訓練曲線格式</w:t>
      </w:r>
      <w:r>
        <w:rPr>
          <w:sz w:val="19"/>
        </w:rPr>
        <w:br/>
      </w:r>
    </w:p>
    <w:p w14:paraId="69329B26" w14:textId="77777777" w:rsidR="00ED7F7C" w:rsidRDefault="00CD09D0">
      <w:pPr>
        <w:pStyle w:val="31"/>
        <w:snapToGrid w:val="0"/>
      </w:pPr>
      <w:bookmarkStart w:id="20" w:name="_Toc242566360"/>
      <w:r>
        <w:lastRenderedPageBreak/>
        <w:t>(</w:t>
      </w:r>
      <w:r>
        <w:t>三</w:t>
      </w:r>
      <w:r>
        <w:t>) Grafana</w:t>
      </w:r>
      <w:r>
        <w:t>與參數設定</w:t>
      </w:r>
      <w:r>
        <w:t>Web</w:t>
      </w:r>
      <w:r>
        <w:t>介面</w:t>
      </w:r>
      <w:bookmarkEnd w:id="20"/>
    </w:p>
    <w:p w14:paraId="5576FB98" w14:textId="77777777" w:rsidR="00ED7F7C" w:rsidRDefault="00CD09D0">
      <w:pPr>
        <w:keepNext/>
        <w:snapToGrid w:val="0"/>
        <w:jc w:val="both"/>
      </w:pPr>
      <w:r>
        <w:t>Grafana</w:t>
      </w:r>
      <w:r>
        <w:t>用於設備總覽、歷史趨勢及事件查詢；其官方文件列有</w:t>
      </w:r>
      <w:r>
        <w:t>InfluxDB</w:t>
      </w:r>
      <w:r>
        <w:t>資料來源與不同查詢語言的支援。</w:t>
      </w:r>
      <w:r>
        <w:t>[6]</w:t>
      </w:r>
      <w:r>
        <w:t>我們將震動、電流、溫度、異常分數與工況標記放在共用時間軸，協助操作者比較異常發生前後的變化。</w:t>
      </w:r>
      <w:r>
        <w:t>Grafana</w:t>
      </w:r>
      <w:r>
        <w:t>以唯讀查看為主，參數修改則使用另設的</w:t>
      </w:r>
      <w:r>
        <w:t>Python Web</w:t>
      </w:r>
      <w:r>
        <w:t>表單，經登入、欄位檢查和權限驗證後建立新設定版本。這樣可避免誤以為修改儀表板變數就會同步改變邊緣模型。頁面不設啟停泵浦按鈕，僅提供告警確認、備註與資料匯出。</w:t>
      </w:r>
      <w:r>
        <w:t>(</w:t>
      </w:r>
      <w:r>
        <w:t>如圖</w:t>
      </w:r>
      <w:r>
        <w:t>11)</w:t>
      </w:r>
    </w:p>
    <w:p w14:paraId="509ECCC3"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【圖片預留】預留介面導覽圖；正式截圖須顯示資料來源與更新時間。</w:t>
      </w:r>
    </w:p>
    <w:p w14:paraId="772226CF" w14:textId="77777777" w:rsidR="00ED7F7C" w:rsidRDefault="00CD09D0">
      <w:pPr>
        <w:pStyle w:val="af7"/>
        <w:snapToGrid w:val="0"/>
        <w:spacing w:after="200"/>
        <w:jc w:val="center"/>
      </w:pPr>
      <w:r>
        <w:t>圖</w:t>
      </w:r>
      <w:r>
        <w:t>11</w:t>
      </w:r>
      <w:r>
        <w:t>、</w:t>
      </w:r>
      <w:r>
        <w:t>Grafana</w:t>
      </w:r>
      <w:r>
        <w:t>查詢頁與受控參數設定頁關係（插圖待補）</w:t>
      </w:r>
    </w:p>
    <w:p w14:paraId="7437C876" w14:textId="77777777" w:rsidR="00ED7F7C" w:rsidRDefault="00CD09D0">
      <w:pPr>
        <w:pStyle w:val="31"/>
        <w:snapToGrid w:val="0"/>
      </w:pPr>
      <w:bookmarkStart w:id="21" w:name="_Toc242566361"/>
      <w:r>
        <w:t>(</w:t>
      </w:r>
      <w:r>
        <w:t>四</w:t>
      </w:r>
      <w:r>
        <w:t>) InfluxDB</w:t>
      </w:r>
      <w:r>
        <w:t>時序資料庫與本地暫存</w:t>
      </w:r>
      <w:bookmarkEnd w:id="21"/>
    </w:p>
    <w:p w14:paraId="1B123B0D" w14:textId="77777777" w:rsidR="00ED7F7C" w:rsidRDefault="00CD09D0">
      <w:pPr>
        <w:keepNext/>
        <w:snapToGrid w:val="0"/>
        <w:jc w:val="both"/>
      </w:pPr>
      <w:r>
        <w:t>伺服器資料庫規劃選用固定版本的</w:t>
      </w:r>
      <w:r>
        <w:t>InfluxDB OSS 2.x</w:t>
      </w:r>
      <w:r>
        <w:t>，配合相容的</w:t>
      </w:r>
      <w:r>
        <w:t>Grafana</w:t>
      </w:r>
      <w:r>
        <w:t>查詢設定，不混用不同大版本的部署範例。時序資料以設備、通道、工況及時間索引，存放每秒特徵、分數與狀態；原始波形則以分段檔案存入</w:t>
      </w:r>
      <w:r>
        <w:t>SSD</w:t>
      </w:r>
      <w:r>
        <w:t>。</w:t>
      </w:r>
      <w:r>
        <w:t>InfluxDB</w:t>
      </w:r>
      <w:r>
        <w:t>以</w:t>
      </w:r>
      <w:r>
        <w:t>measurement</w:t>
      </w:r>
      <w:r>
        <w:t>、</w:t>
      </w:r>
      <w:r>
        <w:t>tag set</w:t>
      </w:r>
      <w:r>
        <w:t>和</w:t>
      </w:r>
      <w:r>
        <w:t>timestamp</w:t>
      </w:r>
      <w:r>
        <w:t>識別資料點，因此補傳必須保持原時間與一致標籤，避免覆寫不相同的量測。</w:t>
      </w:r>
      <w:r>
        <w:t>[7]MQTT</w:t>
      </w:r>
      <w:r>
        <w:t>事件先由接收程式按事件識別碼去重，再寫入紀錄；本地待傳清單另以</w:t>
      </w:r>
      <w:r>
        <w:t>SQLite</w:t>
      </w:r>
      <w:r>
        <w:t>管理，不能假定時序資料庫會自動處理所有重送情況。</w:t>
      </w:r>
      <w:r>
        <w:t>(</w:t>
      </w:r>
      <w:r>
        <w:t>如圖</w:t>
      </w:r>
      <w:r>
        <w:t>12)</w:t>
      </w:r>
    </w:p>
    <w:p w14:paraId="25700FA8"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【圖片預留】預留資料表或欄位關係圖，標示本地與伺服器儲存位置。</w:t>
      </w:r>
    </w:p>
    <w:p w14:paraId="571560C5" w14:textId="77777777" w:rsidR="00ED7F7C" w:rsidRDefault="00CD09D0">
      <w:pPr>
        <w:pStyle w:val="af7"/>
        <w:snapToGrid w:val="0"/>
        <w:spacing w:after="200"/>
        <w:jc w:val="center"/>
      </w:pPr>
      <w:r>
        <w:t>圖</w:t>
      </w:r>
      <w:r>
        <w:t>12</w:t>
      </w:r>
      <w:r>
        <w:t>、特徵資料、事件紀錄與原始波形的分層儲存（插圖待補）</w:t>
      </w:r>
    </w:p>
    <w:p w14:paraId="6A2E3D01" w14:textId="77777777" w:rsidR="00ED7F7C" w:rsidRDefault="00CD09D0">
      <w:pPr>
        <w:pStyle w:val="21"/>
        <w:snapToGrid w:val="0"/>
      </w:pPr>
      <w:bookmarkStart w:id="22" w:name="_Toc242566362"/>
      <w:r>
        <w:lastRenderedPageBreak/>
        <w:t>四、系統架構</w:t>
      </w:r>
      <w:bookmarkEnd w:id="22"/>
    </w:p>
    <w:p w14:paraId="0AE74E98" w14:textId="77777777" w:rsidR="00ED7F7C" w:rsidRDefault="00CD09D0">
      <w:pPr>
        <w:keepNext/>
        <w:snapToGrid w:val="0"/>
        <w:jc w:val="both"/>
      </w:pPr>
      <w:r>
        <w:t>整體資料路徑為「感測器／工況介面</w:t>
      </w:r>
      <w:r>
        <w:t xml:space="preserve"> → DAQ</w:t>
      </w:r>
      <w:r>
        <w:t>與低速轉換器</w:t>
      </w:r>
      <w:r>
        <w:t xml:space="preserve"> → </w:t>
      </w:r>
      <w:r>
        <w:t>邊緣前處理與異常評估</w:t>
      </w:r>
      <w:r>
        <w:t xml:space="preserve"> → </w:t>
      </w:r>
      <w:r>
        <w:t>本地指示及暫存</w:t>
      </w:r>
      <w:r>
        <w:t xml:space="preserve"> → MQTT</w:t>
      </w:r>
      <w:r>
        <w:t>代理</w:t>
      </w:r>
      <w:r>
        <w:t xml:space="preserve"> → </w:t>
      </w:r>
      <w:r>
        <w:t>伺服器資料庫</w:t>
      </w:r>
      <w:r>
        <w:t xml:space="preserve"> → </w:t>
      </w:r>
      <w:r>
        <w:t>儀表板」。高頻分析不依賴伺服器即時回應；模型更新由管理端核准後部署，並保留回復舊版的能力。本模組屬於維護輔助系統，不具安全完整性認證，不取代原廠</w:t>
      </w:r>
      <w:r>
        <w:t>PLC</w:t>
      </w:r>
      <w:r>
        <w:t>、急停或安全連鎖。</w:t>
      </w:r>
      <w:r>
        <w:t>(</w:t>
      </w:r>
      <w:r>
        <w:t>如圖</w:t>
      </w:r>
      <w:r>
        <w:t>13)</w:t>
      </w:r>
    </w:p>
    <w:p w14:paraId="66BEE107" w14:textId="77777777" w:rsidR="00ED7F7C" w:rsidRDefault="00CD09D0">
      <w:pPr>
        <w:keepNext/>
        <w:snapToGrid w:val="0"/>
        <w:spacing w:before="100" w:after="60" w:line="240" w:lineRule="auto"/>
        <w:ind w:firstLine="0"/>
        <w:jc w:val="center"/>
      </w:pPr>
      <w:r>
        <w:rPr>
          <w:noProof/>
        </w:rPr>
        <w:drawing>
          <wp:inline distT="0" distB="0" distL="0" distR="0" wp14:anchorId="795B403A" wp14:editId="3CBBE865">
            <wp:extent cx="5688000" cy="2553796"/>
            <wp:effectExtent l="0" t="0" r="0" b="0"/>
            <wp:docPr id="2" name="圖13－乾式真空泵跨工況多模態異常預警系統架構" descr="系統設計示意，非實機照片；GPU配置於離線訓練工作站；邊緣裝置獨立執行監看與告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png"/>
                    <pic:cNvPicPr/>
                  </pic:nvPicPr>
                  <pic:blipFill>
                    <a:blip r:embed="rId11"/>
                    <a:stretch>
                      <a:fillRect/>
                    </a:stretch>
                  </pic:blipFill>
                  <pic:spPr>
                    <a:xfrm>
                      <a:off x="0" y="0"/>
                      <a:ext cx="5688000" cy="2553796"/>
                    </a:xfrm>
                    <a:prstGeom prst="rect">
                      <a:avLst/>
                    </a:prstGeom>
                  </pic:spPr>
                </pic:pic>
              </a:graphicData>
            </a:graphic>
          </wp:inline>
        </w:drawing>
      </w:r>
    </w:p>
    <w:p w14:paraId="43CBB225" w14:textId="0D90F25D" w:rsidR="00ED7F7C" w:rsidRDefault="00CD09D0">
      <w:pPr>
        <w:pStyle w:val="af7"/>
        <w:snapToGrid w:val="0"/>
        <w:spacing w:after="200"/>
        <w:jc w:val="center"/>
      </w:pPr>
      <w:r>
        <w:rPr>
          <w:sz w:val="19"/>
        </w:rPr>
        <w:t>圖</w:t>
      </w:r>
      <w:r>
        <w:rPr>
          <w:sz w:val="19"/>
        </w:rPr>
        <w:t>13</w:t>
      </w:r>
      <w:r>
        <w:rPr>
          <w:sz w:val="19"/>
        </w:rPr>
        <w:t>、乾式真空泵跨工況多模態異常預警系統架構</w:t>
      </w:r>
      <w:r>
        <w:rPr>
          <w:sz w:val="19"/>
        </w:rPr>
        <w:br/>
      </w:r>
    </w:p>
    <w:p w14:paraId="787DFECB" w14:textId="77777777" w:rsidR="00ED7F7C" w:rsidRDefault="00CD09D0">
      <w:pPr>
        <w:pStyle w:val="31"/>
        <w:snapToGrid w:val="0"/>
      </w:pPr>
      <w:bookmarkStart w:id="23" w:name="_Toc242566363"/>
      <w:r>
        <w:t>(</w:t>
      </w:r>
      <w:r>
        <w:t>一</w:t>
      </w:r>
      <w:r>
        <w:t xml:space="preserve">) </w:t>
      </w:r>
      <w:r>
        <w:t>感測器數據擷取</w:t>
      </w:r>
      <w:bookmarkEnd w:id="23"/>
    </w:p>
    <w:p w14:paraId="14A4AB48" w14:textId="77777777" w:rsidR="00ED7F7C" w:rsidRDefault="00CD09D0">
      <w:pPr>
        <w:snapToGrid w:val="0"/>
        <w:jc w:val="both"/>
      </w:pPr>
      <w:r>
        <w:t>兩路震動與一路電流由</w:t>
      </w:r>
      <w:r>
        <w:t>DAQ</w:t>
      </w:r>
      <w:r>
        <w:t>以共同硬體時鐘、每通道</w:t>
      </w:r>
      <w:r>
        <w:t>25.6 kS/s</w:t>
      </w:r>
      <w:r>
        <w:t>同步擷取；原型使用</w:t>
      </w:r>
      <w:r>
        <w:t>2</w:t>
      </w:r>
      <w:r>
        <w:t>秒視窗、</w:t>
      </w:r>
      <w:r>
        <w:t>1</w:t>
      </w:r>
      <w:r>
        <w:t>秒步進。震動在通道校正後分析</w:t>
      </w:r>
      <w:r>
        <w:t>10 Hz</w:t>
      </w:r>
      <w:r>
        <w:t>至</w:t>
      </w:r>
      <w:r>
        <w:t>5 kHz</w:t>
      </w:r>
      <w:r>
        <w:t>，先依</w:t>
      </w:r>
      <w:r>
        <w:t>DAQ</w:t>
      </w:r>
      <w:r>
        <w:t>規格確認抗混疊濾波，不能只在數位化之後補救混疊。電流同率擷取後經數位低通，再降採樣至</w:t>
      </w:r>
      <w:r>
        <w:t>6.4 kS/s</w:t>
      </w:r>
      <w:r>
        <w:t>，分析範圍先限制在</w:t>
      </w:r>
      <w:r>
        <w:t>2 kHz</w:t>
      </w:r>
      <w:r>
        <w:t>以下；這是設計選擇，不表示需要診斷全部</w:t>
      </w:r>
      <w:r>
        <w:t>PWM</w:t>
      </w:r>
      <w:r>
        <w:t>成分。</w:t>
      </w:r>
    </w:p>
    <w:p w14:paraId="0C4BB49D" w14:textId="77777777" w:rsidR="00ED7F7C" w:rsidRDefault="00CD09D0">
      <w:pPr>
        <w:keepNext/>
        <w:snapToGrid w:val="0"/>
        <w:jc w:val="both"/>
      </w:pPr>
      <w:r>
        <w:t>溫度與工況訊號以</w:t>
      </w:r>
      <w:r>
        <w:t>1 Hz</w:t>
      </w:r>
      <w:r>
        <w:t>更新，保留來源時間及品質旗標。高頻樣本時間以</w:t>
      </w:r>
      <w:r>
        <w:t>DAQ</w:t>
      </w:r>
      <w:r>
        <w:t>起始時間和樣本序號重建，不以網路封包到達時間當成採樣時間。邊緣與伺服器用時間同步服務校時，但不把</w:t>
      </w:r>
      <w:r>
        <w:t>NTP</w:t>
      </w:r>
      <w:r>
        <w:t>視為通道同步的替代品。低速資料只在允許的資料年齡內對齊到視窗，超過</w:t>
      </w:r>
      <w:r>
        <w:t>3</w:t>
      </w:r>
      <w:r>
        <w:t>秒未更新就標為無效；不把溫度插值成高頻後宣稱具有高頻資訊。</w:t>
      </w:r>
      <w:r>
        <w:t>(</w:t>
      </w:r>
      <w:r>
        <w:t>如圖</w:t>
      </w:r>
      <w:r>
        <w:t>14)</w:t>
      </w:r>
    </w:p>
    <w:p w14:paraId="4F5C9B23"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【圖片預留】預留時間軸圖，標示</w:t>
      </w:r>
      <w:r>
        <w:rPr>
          <w:color w:val="5B6570"/>
          <w:sz w:val="19"/>
        </w:rPr>
        <w:t>2</w:t>
      </w:r>
      <w:r>
        <w:rPr>
          <w:color w:val="5B6570"/>
          <w:sz w:val="19"/>
        </w:rPr>
        <w:t>秒視窗、</w:t>
      </w:r>
      <w:r>
        <w:rPr>
          <w:color w:val="5B6570"/>
          <w:sz w:val="19"/>
        </w:rPr>
        <w:t>1</w:t>
      </w:r>
      <w:r>
        <w:rPr>
          <w:color w:val="5B6570"/>
          <w:sz w:val="19"/>
        </w:rPr>
        <w:t>秒步進及低速資料有效期限。</w:t>
      </w:r>
    </w:p>
    <w:p w14:paraId="2EB87F15" w14:textId="77777777" w:rsidR="00ED7F7C" w:rsidRDefault="00CD09D0">
      <w:pPr>
        <w:pStyle w:val="af7"/>
        <w:snapToGrid w:val="0"/>
        <w:spacing w:after="200"/>
        <w:jc w:val="center"/>
      </w:pPr>
      <w:r>
        <w:t>圖</w:t>
      </w:r>
      <w:r>
        <w:t>14</w:t>
      </w:r>
      <w:r>
        <w:t>、多速率資料對齊、樣本序號與滑動視窗（插圖待補）</w:t>
      </w:r>
    </w:p>
    <w:p w14:paraId="76F01BA5" w14:textId="77777777" w:rsidR="00ED7F7C" w:rsidRDefault="00CD09D0">
      <w:pPr>
        <w:pStyle w:val="31"/>
        <w:snapToGrid w:val="0"/>
      </w:pPr>
      <w:bookmarkStart w:id="24" w:name="_Toc242566364"/>
      <w:r>
        <w:lastRenderedPageBreak/>
        <w:t>(</w:t>
      </w:r>
      <w:r>
        <w:t>二</w:t>
      </w:r>
      <w:r>
        <w:t xml:space="preserve">) </w:t>
      </w:r>
      <w:r>
        <w:t>邊緣運算端</w:t>
      </w:r>
      <w:r>
        <w:t>AI</w:t>
      </w:r>
      <w:r>
        <w:t>異常檢測</w:t>
      </w:r>
      <w:bookmarkEnd w:id="24"/>
    </w:p>
    <w:p w14:paraId="74619308" w14:textId="77777777" w:rsidR="00ED7F7C" w:rsidRDefault="00CD09D0">
      <w:pPr>
        <w:snapToGrid w:val="0"/>
        <w:jc w:val="both"/>
      </w:pPr>
      <w:r>
        <w:t>邊緣端先檢查通道數、封包序號、飽和、卡值與缺值，再進行去除偏壓、必要濾波及特徵計算。震動頻譜採適當窗函數，保存</w:t>
      </w:r>
      <w:r>
        <w:t>RMS</w:t>
      </w:r>
      <w:r>
        <w:t>、峰度及分頻帶能量；電流保存</w:t>
      </w:r>
      <w:r>
        <w:t>RMS</w:t>
      </w:r>
      <w:r>
        <w:t>與低頻頻譜；溫度保留溫升及一分鐘斜率。初次啟動尚未累積足夠溫度歷史時，完整融合模型標為未就緒，仍執行有效通道的基本監看。</w:t>
      </w:r>
    </w:p>
    <w:p w14:paraId="5E52911E" w14:textId="77777777" w:rsidR="00ED7F7C" w:rsidRDefault="00CD09D0">
      <w:pPr>
        <w:keepNext/>
        <w:snapToGrid w:val="0"/>
        <w:jc w:val="both"/>
      </w:pPr>
      <w:r>
        <w:t>工況路由優先依操作指令、製程階段及轉速／壓力設定值選擇正常基準；實測轉速與壓力用於檢查是否符合該工況，不因實測壓力、電流或溫度異常就自動切換到另一個正常模型，以免把故障「分走」。每一已知工況用訓練集的中位數與四分位距標準化特徵，再送入對應模型；四分位距近零的特徵依預定下限處理或移除。若工況未曾建模、輸入超出覆蓋範圍或模態缺失，顯示「未知／資料不足」，不強行輸出正常。模型版本、特徵順序與校正係數一起封存，防止部署時欄位錯位。</w:t>
      </w:r>
      <w:r>
        <w:t>(</w:t>
      </w:r>
      <w:r>
        <w:t>如圖</w:t>
      </w:r>
      <w:r>
        <w:t>15)</w:t>
      </w:r>
    </w:p>
    <w:p w14:paraId="20960571"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【圖片預留】預留程式流程圖，必須包含未知工況及缺值分支。</w:t>
      </w:r>
    </w:p>
    <w:p w14:paraId="365B75DA" w14:textId="77777777" w:rsidR="00ED7F7C" w:rsidRDefault="00CD09D0">
      <w:pPr>
        <w:pStyle w:val="af7"/>
        <w:snapToGrid w:val="0"/>
        <w:spacing w:after="200"/>
        <w:jc w:val="center"/>
      </w:pPr>
      <w:r>
        <w:t>圖</w:t>
      </w:r>
      <w:r>
        <w:t>15</w:t>
      </w:r>
      <w:r>
        <w:t>、資料品質檢查、工況路由與邊緣推論流程（插圖待補）</w:t>
      </w:r>
    </w:p>
    <w:p w14:paraId="6DC4EFB4" w14:textId="77777777" w:rsidR="00ED7F7C" w:rsidRDefault="00CD09D0">
      <w:pPr>
        <w:pStyle w:val="31"/>
        <w:snapToGrid w:val="0"/>
      </w:pPr>
      <w:bookmarkStart w:id="25" w:name="_Toc242566365"/>
      <w:r>
        <w:t>(</w:t>
      </w:r>
      <w:r>
        <w:t>三</w:t>
      </w:r>
      <w:r>
        <w:t xml:space="preserve">) </w:t>
      </w:r>
      <w:r>
        <w:t>設備與伺服器的</w:t>
      </w:r>
      <w:r>
        <w:t>MQTT Wi-Fi</w:t>
      </w:r>
      <w:r>
        <w:t>通訊</w:t>
      </w:r>
      <w:bookmarkEnd w:id="25"/>
    </w:p>
    <w:p w14:paraId="372CBF7B" w14:textId="77777777" w:rsidR="00ED7F7C" w:rsidRDefault="00CD09D0">
      <w:pPr>
        <w:snapToGrid w:val="0"/>
        <w:jc w:val="both"/>
      </w:pPr>
      <w:r>
        <w:t>MQTT</w:t>
      </w:r>
      <w:r>
        <w:t>採發布／訂閱架構，適合讓邊緣端與資料接收端分離；其中</w:t>
      </w:r>
      <w:r>
        <w:t>QoS 1</w:t>
      </w:r>
      <w:r>
        <w:t>提供至少一次傳遞，因此可能出現重複訊息。</w:t>
      </w:r>
      <w:r>
        <w:t>[5]</w:t>
      </w:r>
      <w:r>
        <w:t>本設計在核准的</w:t>
      </w:r>
      <w:r>
        <w:t>Wi-Fi</w:t>
      </w:r>
      <w:r>
        <w:t>網路上使用</w:t>
      </w:r>
      <w:r>
        <w:t>TLS</w:t>
      </w:r>
      <w:r>
        <w:t>與個別設備帳號，限制每台設備可發布的主題。主題規劃為</w:t>
      </w:r>
      <w:r>
        <w:t>pump/{device_id}/telemetry</w:t>
      </w:r>
      <w:r>
        <w:t>、</w:t>
      </w:r>
      <w:r>
        <w:t>events</w:t>
      </w:r>
      <w:r>
        <w:t>及</w:t>
      </w:r>
      <w:r>
        <w:t>status</w:t>
      </w:r>
      <w:r>
        <w:t>，分別傳送摘要、告警事件與在線狀態。特徵每秒發布一次，告警則在狀態轉移時立即送出；不把連續高頻波形塞進</w:t>
      </w:r>
      <w:r>
        <w:t>MQTT</w:t>
      </w:r>
      <w:r>
        <w:t>。</w:t>
      </w:r>
    </w:p>
    <w:p w14:paraId="4ABAAB86" w14:textId="77777777" w:rsidR="00ED7F7C" w:rsidRDefault="00CD09D0">
      <w:pPr>
        <w:keepNext/>
        <w:snapToGrid w:val="0"/>
        <w:jc w:val="both"/>
      </w:pPr>
      <w:r>
        <w:t>訊息包含</w:t>
      </w:r>
      <w:r>
        <w:t>device_id</w:t>
      </w:r>
      <w:r>
        <w:t>、</w:t>
      </w:r>
      <w:r>
        <w:t>boot_id</w:t>
      </w:r>
      <w:r>
        <w:t>、</w:t>
      </w:r>
      <w:r>
        <w:t>seq</w:t>
      </w:r>
      <w:r>
        <w:t>、量測時間、工況、特徵版本、模型版本、品質旗標及告警狀態。事件另附唯一</w:t>
      </w:r>
      <w:r>
        <w:t>event_id</w:t>
      </w:r>
      <w:r>
        <w:t>，接收端據此去重；重要事件收到伺服器「落盤完成」回覆後才移出待傳清單，不能把代理伺服器的</w:t>
      </w:r>
      <w:r>
        <w:t>PUBACK</w:t>
      </w:r>
      <w:r>
        <w:t>等同資料庫已保存。啟用遺囑訊息與心跳，介面同時顯示最後更新時間。網路中斷期間在本地繼續分析，復線後限速補傳，並標記歷史資料。</w:t>
      </w:r>
      <w:r>
        <w:t>(</w:t>
      </w:r>
      <w:r>
        <w:t>如圖</w:t>
      </w:r>
      <w:r>
        <w:t>16)</w:t>
      </w:r>
    </w:p>
    <w:p w14:paraId="76530559"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【圖片預留】預留通訊時序圖，區分</w:t>
      </w:r>
      <w:r>
        <w:rPr>
          <w:color w:val="5B6570"/>
          <w:sz w:val="19"/>
        </w:rPr>
        <w:t>MQTT</w:t>
      </w:r>
      <w:r>
        <w:rPr>
          <w:color w:val="5B6570"/>
          <w:sz w:val="19"/>
        </w:rPr>
        <w:t>確認與應用層保存確認。</w:t>
      </w:r>
    </w:p>
    <w:p w14:paraId="6A012715" w14:textId="77777777" w:rsidR="00ED7F7C" w:rsidRDefault="00CD09D0">
      <w:pPr>
        <w:pStyle w:val="af7"/>
        <w:snapToGrid w:val="0"/>
        <w:spacing w:after="200"/>
        <w:jc w:val="center"/>
      </w:pPr>
      <w:r>
        <w:t>圖</w:t>
      </w:r>
      <w:r>
        <w:t>16</w:t>
      </w:r>
      <w:r>
        <w:t>、</w:t>
      </w:r>
      <w:r>
        <w:t>MQTT</w:t>
      </w:r>
      <w:r>
        <w:t>發布、訂閱、斷線暫存及落盤確認機制（插圖待補）</w:t>
      </w:r>
    </w:p>
    <w:p w14:paraId="4945454B" w14:textId="77777777" w:rsidR="00ED7F7C" w:rsidRDefault="00CD09D0">
      <w:pPr>
        <w:pStyle w:val="31"/>
        <w:snapToGrid w:val="0"/>
      </w:pPr>
      <w:bookmarkStart w:id="26" w:name="_Toc242566366"/>
      <w:r>
        <w:t>(</w:t>
      </w:r>
      <w:r>
        <w:t>四</w:t>
      </w:r>
      <w:r>
        <w:t xml:space="preserve">) </w:t>
      </w:r>
      <w:r>
        <w:t>異常預警觸發機制</w:t>
      </w:r>
      <w:bookmarkEnd w:id="26"/>
    </w:p>
    <w:p w14:paraId="018020F9" w14:textId="77777777" w:rsidR="00ED7F7C" w:rsidRDefault="00CD09D0">
      <w:pPr>
        <w:snapToGrid w:val="0"/>
        <w:jc w:val="both"/>
      </w:pPr>
      <w:r>
        <w:t>我們以每工況的正常驗證資料校準異常分數。初始預警門檻採分數第</w:t>
      </w:r>
      <w:r>
        <w:t>99</w:t>
      </w:r>
      <w:r>
        <w:t>百分位、解除門檻採第</w:t>
      </w:r>
      <w:r>
        <w:t>95</w:t>
      </w:r>
      <w:r>
        <w:t>百分位；這些只作起始設定，最後須依正常運轉時數、事件召回與現場可接受負擔調整，並在測試前凍結。重疊視窗的超標比例不等於事件誤報率。每秒產生一次判定，最近</w:t>
      </w:r>
      <w:r>
        <w:t>5</w:t>
      </w:r>
      <w:r>
        <w:t>個有效且同工況視窗有至少</w:t>
      </w:r>
      <w:r>
        <w:t>3</w:t>
      </w:r>
      <w:r>
        <w:t>個超標，才由正常轉為黃色預警；分數回到解除門檻以下連續</w:t>
      </w:r>
      <w:r>
        <w:t>30</w:t>
      </w:r>
      <w:r>
        <w:t>個有效視窗，才解除異常狀態。</w:t>
      </w:r>
    </w:p>
    <w:p w14:paraId="2B7D91F4" w14:textId="77777777" w:rsidR="00ED7F7C" w:rsidRDefault="00CD09D0">
      <w:pPr>
        <w:keepNext/>
        <w:snapToGrid w:val="0"/>
        <w:jc w:val="both"/>
      </w:pPr>
      <w:r>
        <w:lastRenderedPageBreak/>
        <w:t>若預警連續存在</w:t>
      </w:r>
      <w:r>
        <w:t>60</w:t>
      </w:r>
      <w:r>
        <w:t>秒，且至少兩種模態各有一項特徵超出該工況正常驗證分布的預設上下界，就升級為紅色警報。沒有多模態佐證時保留黃色並提示人工檢查，不強行宣告故障類型。有效量測一旦超過經設備負責人核准的安全通知限值，可直接發出紅色通知，不能被暖機遮罩或投票延遲；真正的保護與停機仍由原設備負責。資料失效另標灰色，工況切換清空投票但保留事件紀錄，未解除的告警不可被重開機或切換自動清除。</w:t>
      </w:r>
      <w:r>
        <w:t>(</w:t>
      </w:r>
      <w:r>
        <w:t>如圖</w:t>
      </w:r>
      <w:r>
        <w:t>17)</w:t>
      </w:r>
    </w:p>
    <w:p w14:paraId="0B54F88A"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【圖片預留】預留狀態圖，標示遲滯、持續時間、直接通知與人工確認。</w:t>
      </w:r>
    </w:p>
    <w:p w14:paraId="55CF7C44" w14:textId="77777777" w:rsidR="00ED7F7C" w:rsidRDefault="00CD09D0">
      <w:pPr>
        <w:pStyle w:val="af7"/>
        <w:snapToGrid w:val="0"/>
        <w:spacing w:after="200"/>
        <w:jc w:val="center"/>
      </w:pPr>
      <w:r>
        <w:t>圖</w:t>
      </w:r>
      <w:r>
        <w:t>17</w:t>
      </w:r>
      <w:r>
        <w:t>、正常、預警、警報與資料不足的狀態轉移（插圖待補）</w:t>
      </w:r>
    </w:p>
    <w:p w14:paraId="13DF32C1" w14:textId="77777777" w:rsidR="00ED7F7C" w:rsidRDefault="00CD09D0">
      <w:pPr>
        <w:pStyle w:val="21"/>
        <w:snapToGrid w:val="0"/>
      </w:pPr>
      <w:bookmarkStart w:id="27" w:name="_Toc242566367"/>
      <w:r>
        <w:t>五、偵測流程</w:t>
      </w:r>
      <w:bookmarkEnd w:id="27"/>
    </w:p>
    <w:p w14:paraId="74AAE370" w14:textId="77777777" w:rsidR="00ED7F7C" w:rsidRDefault="00CD09D0">
      <w:pPr>
        <w:pStyle w:val="31"/>
        <w:snapToGrid w:val="0"/>
      </w:pPr>
      <w:bookmarkStart w:id="28" w:name="_Toc242566368"/>
      <w:r>
        <w:t>(</w:t>
      </w:r>
      <w:r>
        <w:t>一</w:t>
      </w:r>
      <w:r>
        <w:t xml:space="preserve">) </w:t>
      </w:r>
      <w:r>
        <w:t>跨工況多模態特徵定義</w:t>
      </w:r>
      <w:bookmarkEnd w:id="28"/>
    </w:p>
    <w:p w14:paraId="5AE42AE9" w14:textId="77777777" w:rsidR="00ED7F7C" w:rsidRDefault="00CD09D0">
      <w:pPr>
        <w:snapToGrid w:val="0"/>
        <w:jc w:val="both"/>
      </w:pPr>
      <w:r>
        <w:t>本專題將「多模態」定義為同一設備時間窗內，震動、電流與溫度三種不同物理來源的聯合判讀；壓力、轉速和製程階段則作為工況背景。震動採兩個方向各自計算，不在校正前直接相加。機械振動的特徵分析與狀態監測概念可參考</w:t>
      </w:r>
      <w:r>
        <w:t>Randall</w:t>
      </w:r>
      <w:r>
        <w:t>的專書，但實際泵浦適用性仍需量測驗證。</w:t>
      </w:r>
      <w:r>
        <w:t>[10]</w:t>
      </w:r>
      <w:r>
        <w:t>我們先使用可解釋的低維特徵，方便查出異常是由哪一類訊號帶動，而不是只看到一個無法追查的分數。</w:t>
      </w:r>
      <w:r>
        <w:t>(</w:t>
      </w:r>
      <w:r>
        <w:t>如圖</w:t>
      </w:r>
      <w:r>
        <w:t>18)</w:t>
      </w:r>
    </w:p>
    <w:p w14:paraId="7E4F03C8" w14:textId="77777777" w:rsidR="00ED7F7C" w:rsidRDefault="00CD09D0">
      <w:pPr>
        <w:pStyle w:val="af7"/>
        <w:keepNext/>
        <w:snapToGrid w:val="0"/>
      </w:pPr>
      <w:r>
        <w:rPr>
          <w:b/>
        </w:rPr>
        <w:t>表</w:t>
      </w:r>
      <w:r>
        <w:rPr>
          <w:b/>
        </w:rPr>
        <w:t>2</w:t>
      </w:r>
      <w:r>
        <w:rPr>
          <w:b/>
        </w:rPr>
        <w:t>、多模態特徵與工況背景定義</w:t>
      </w:r>
    </w:p>
    <w:tbl>
      <w:tblPr>
        <w:tblStyle w:val="aff2"/>
        <w:tblW w:w="0" w:type="auto"/>
        <w:jc w:val="center"/>
        <w:tblLayout w:type="fixed"/>
        <w:tblLook w:val="04A0" w:firstRow="1" w:lastRow="0" w:firstColumn="1" w:lastColumn="0" w:noHBand="0" w:noVBand="1"/>
      </w:tblPr>
      <w:tblGrid>
        <w:gridCol w:w="1701"/>
        <w:gridCol w:w="2438"/>
        <w:gridCol w:w="2438"/>
        <w:gridCol w:w="2608"/>
      </w:tblGrid>
      <w:tr w:rsidR="00ED7F7C" w14:paraId="11C73D94" w14:textId="77777777">
        <w:trPr>
          <w:cantSplit/>
          <w:tblHeader/>
          <w:jc w:val="center"/>
        </w:trPr>
        <w:tc>
          <w:tcPr>
            <w:tcW w:w="1701" w:type="dxa"/>
            <w:shd w:val="clear" w:color="auto" w:fill="E9EFF5"/>
            <w:tcMar>
              <w:top w:w="85" w:type="dxa"/>
              <w:left w:w="85" w:type="dxa"/>
              <w:bottom w:w="85" w:type="dxa"/>
              <w:right w:w="85" w:type="dxa"/>
            </w:tcMar>
            <w:vAlign w:val="center"/>
          </w:tcPr>
          <w:p w14:paraId="38511960" w14:textId="77777777" w:rsidR="00ED7F7C" w:rsidRDefault="00CD09D0">
            <w:pPr>
              <w:keepNext/>
              <w:snapToGrid w:val="0"/>
              <w:spacing w:before="60" w:after="60" w:line="276" w:lineRule="auto"/>
              <w:ind w:firstLine="0"/>
            </w:pPr>
            <w:r>
              <w:rPr>
                <w:b/>
                <w:color w:val="16324F"/>
                <w:sz w:val="21"/>
              </w:rPr>
              <w:t>類別</w:t>
            </w:r>
          </w:p>
        </w:tc>
        <w:tc>
          <w:tcPr>
            <w:tcW w:w="2438" w:type="dxa"/>
            <w:shd w:val="clear" w:color="auto" w:fill="E9EFF5"/>
            <w:tcMar>
              <w:top w:w="85" w:type="dxa"/>
              <w:left w:w="85" w:type="dxa"/>
              <w:bottom w:w="85" w:type="dxa"/>
              <w:right w:w="85" w:type="dxa"/>
            </w:tcMar>
            <w:vAlign w:val="center"/>
          </w:tcPr>
          <w:p w14:paraId="1A474C52" w14:textId="77777777" w:rsidR="00ED7F7C" w:rsidRDefault="00CD09D0">
            <w:pPr>
              <w:keepNext/>
              <w:snapToGrid w:val="0"/>
              <w:spacing w:before="60" w:after="60" w:line="276" w:lineRule="auto"/>
              <w:ind w:firstLine="0"/>
            </w:pPr>
            <w:r>
              <w:rPr>
                <w:b/>
                <w:color w:val="16324F"/>
                <w:sz w:val="21"/>
              </w:rPr>
              <w:t>初步特徵</w:t>
            </w:r>
          </w:p>
        </w:tc>
        <w:tc>
          <w:tcPr>
            <w:tcW w:w="2438" w:type="dxa"/>
            <w:shd w:val="clear" w:color="auto" w:fill="E9EFF5"/>
            <w:tcMar>
              <w:top w:w="85" w:type="dxa"/>
              <w:left w:w="85" w:type="dxa"/>
              <w:bottom w:w="85" w:type="dxa"/>
              <w:right w:w="85" w:type="dxa"/>
            </w:tcMar>
            <w:vAlign w:val="center"/>
          </w:tcPr>
          <w:p w14:paraId="3C47B477" w14:textId="77777777" w:rsidR="00ED7F7C" w:rsidRDefault="00CD09D0">
            <w:pPr>
              <w:keepNext/>
              <w:snapToGrid w:val="0"/>
              <w:spacing w:before="60" w:after="60" w:line="276" w:lineRule="auto"/>
              <w:ind w:firstLine="0"/>
            </w:pPr>
            <w:r>
              <w:rPr>
                <w:b/>
                <w:color w:val="16324F"/>
                <w:sz w:val="21"/>
              </w:rPr>
              <w:t>單位或計算方式</w:t>
            </w:r>
          </w:p>
        </w:tc>
        <w:tc>
          <w:tcPr>
            <w:tcW w:w="2608" w:type="dxa"/>
            <w:shd w:val="clear" w:color="auto" w:fill="E9EFF5"/>
            <w:tcMar>
              <w:top w:w="85" w:type="dxa"/>
              <w:left w:w="85" w:type="dxa"/>
              <w:bottom w:w="85" w:type="dxa"/>
              <w:right w:w="85" w:type="dxa"/>
            </w:tcMar>
            <w:vAlign w:val="center"/>
          </w:tcPr>
          <w:p w14:paraId="25E3086E" w14:textId="77777777" w:rsidR="00ED7F7C" w:rsidRDefault="00CD09D0">
            <w:pPr>
              <w:keepNext/>
              <w:snapToGrid w:val="0"/>
              <w:spacing w:before="60" w:after="60" w:line="276" w:lineRule="auto"/>
              <w:ind w:firstLine="0"/>
            </w:pPr>
            <w:r>
              <w:rPr>
                <w:b/>
                <w:color w:val="16324F"/>
                <w:sz w:val="21"/>
              </w:rPr>
              <w:t>判讀限制</w:t>
            </w:r>
          </w:p>
        </w:tc>
      </w:tr>
      <w:tr w:rsidR="00ED7F7C" w14:paraId="5955EF12" w14:textId="77777777">
        <w:trPr>
          <w:cantSplit/>
          <w:jc w:val="center"/>
        </w:trPr>
        <w:tc>
          <w:tcPr>
            <w:tcW w:w="1701" w:type="dxa"/>
            <w:tcMar>
              <w:top w:w="85" w:type="dxa"/>
              <w:left w:w="85" w:type="dxa"/>
              <w:bottom w:w="85" w:type="dxa"/>
              <w:right w:w="85" w:type="dxa"/>
            </w:tcMar>
            <w:vAlign w:val="center"/>
          </w:tcPr>
          <w:p w14:paraId="23921389" w14:textId="77777777" w:rsidR="00ED7F7C" w:rsidRDefault="00CD09D0">
            <w:pPr>
              <w:snapToGrid w:val="0"/>
              <w:spacing w:before="60" w:after="60" w:line="276" w:lineRule="auto"/>
              <w:ind w:firstLine="0"/>
            </w:pPr>
            <w:r>
              <w:rPr>
                <w:sz w:val="21"/>
              </w:rPr>
              <w:t>震動：泵體、馬達側</w:t>
            </w:r>
          </w:p>
        </w:tc>
        <w:tc>
          <w:tcPr>
            <w:tcW w:w="2438" w:type="dxa"/>
            <w:tcMar>
              <w:top w:w="85" w:type="dxa"/>
              <w:left w:w="85" w:type="dxa"/>
              <w:bottom w:w="85" w:type="dxa"/>
              <w:right w:w="85" w:type="dxa"/>
            </w:tcMar>
            <w:vAlign w:val="center"/>
          </w:tcPr>
          <w:p w14:paraId="36042E29" w14:textId="77777777" w:rsidR="00ED7F7C" w:rsidRDefault="00CD09D0">
            <w:pPr>
              <w:snapToGrid w:val="0"/>
              <w:spacing w:before="60" w:after="60" w:line="276" w:lineRule="auto"/>
              <w:ind w:firstLine="0"/>
            </w:pPr>
            <w:r>
              <w:rPr>
                <w:sz w:val="21"/>
              </w:rPr>
              <w:t>RMS</w:t>
            </w:r>
            <w:r>
              <w:rPr>
                <w:sz w:val="21"/>
              </w:rPr>
              <w:t>、峰對峰、峰度；</w:t>
            </w:r>
            <w:r>
              <w:rPr>
                <w:sz w:val="21"/>
              </w:rPr>
              <w:t>10–200</w:t>
            </w:r>
            <w:r>
              <w:rPr>
                <w:sz w:val="21"/>
              </w:rPr>
              <w:t>、</w:t>
            </w:r>
            <w:r>
              <w:rPr>
                <w:sz w:val="21"/>
              </w:rPr>
              <w:t>200–1,000</w:t>
            </w:r>
            <w:r>
              <w:rPr>
                <w:sz w:val="21"/>
              </w:rPr>
              <w:t>、</w:t>
            </w:r>
            <w:r>
              <w:rPr>
                <w:sz w:val="21"/>
              </w:rPr>
              <w:t>1,000–5,000 Hz</w:t>
            </w:r>
            <w:r>
              <w:rPr>
                <w:sz w:val="21"/>
              </w:rPr>
              <w:t>頻帶能量</w:t>
            </w:r>
          </w:p>
        </w:tc>
        <w:tc>
          <w:tcPr>
            <w:tcW w:w="2438" w:type="dxa"/>
            <w:tcMar>
              <w:top w:w="85" w:type="dxa"/>
              <w:left w:w="85" w:type="dxa"/>
              <w:bottom w:w="85" w:type="dxa"/>
              <w:right w:w="85" w:type="dxa"/>
            </w:tcMar>
            <w:vAlign w:val="center"/>
          </w:tcPr>
          <w:p w14:paraId="596BA7FF" w14:textId="77777777" w:rsidR="00ED7F7C" w:rsidRDefault="00CD09D0">
            <w:pPr>
              <w:snapToGrid w:val="0"/>
              <w:spacing w:before="60" w:after="60" w:line="276" w:lineRule="auto"/>
              <w:ind w:firstLine="0"/>
            </w:pPr>
            <w:r>
              <w:rPr>
                <w:sz w:val="21"/>
              </w:rPr>
              <w:t>加速度統一為</w:t>
            </w:r>
            <w:r>
              <w:rPr>
                <w:sz w:val="21"/>
              </w:rPr>
              <w:t>m/s²</w:t>
            </w:r>
            <w:r>
              <w:rPr>
                <w:sz w:val="21"/>
              </w:rPr>
              <w:t>；能量由校正後</w:t>
            </w:r>
            <w:r>
              <w:rPr>
                <w:sz w:val="21"/>
              </w:rPr>
              <w:t>PSD</w:t>
            </w:r>
            <w:r>
              <w:rPr>
                <w:sz w:val="21"/>
              </w:rPr>
              <w:t>積分</w:t>
            </w:r>
          </w:p>
        </w:tc>
        <w:tc>
          <w:tcPr>
            <w:tcW w:w="2608" w:type="dxa"/>
            <w:tcMar>
              <w:top w:w="85" w:type="dxa"/>
              <w:left w:w="85" w:type="dxa"/>
              <w:bottom w:w="85" w:type="dxa"/>
              <w:right w:w="85" w:type="dxa"/>
            </w:tcMar>
            <w:vAlign w:val="center"/>
          </w:tcPr>
          <w:p w14:paraId="1218B7F5" w14:textId="77777777" w:rsidR="00ED7F7C" w:rsidRDefault="00CD09D0">
            <w:pPr>
              <w:snapToGrid w:val="0"/>
              <w:spacing w:before="60" w:after="60" w:line="276" w:lineRule="auto"/>
              <w:ind w:firstLine="0"/>
            </w:pPr>
            <w:r>
              <w:rPr>
                <w:sz w:val="21"/>
              </w:rPr>
              <w:t>須保持位置、方向與安裝方式一致；峰度高不直接等於軸承故障。</w:t>
            </w:r>
          </w:p>
        </w:tc>
      </w:tr>
      <w:tr w:rsidR="00ED7F7C" w14:paraId="0E232FE7" w14:textId="77777777">
        <w:trPr>
          <w:cantSplit/>
          <w:jc w:val="center"/>
        </w:trPr>
        <w:tc>
          <w:tcPr>
            <w:tcW w:w="1701" w:type="dxa"/>
            <w:tcMar>
              <w:top w:w="85" w:type="dxa"/>
              <w:left w:w="85" w:type="dxa"/>
              <w:bottom w:w="85" w:type="dxa"/>
              <w:right w:w="85" w:type="dxa"/>
            </w:tcMar>
            <w:vAlign w:val="center"/>
          </w:tcPr>
          <w:p w14:paraId="50C160CD" w14:textId="77777777" w:rsidR="00ED7F7C" w:rsidRDefault="00CD09D0">
            <w:pPr>
              <w:snapToGrid w:val="0"/>
              <w:spacing w:before="60" w:after="60" w:line="276" w:lineRule="auto"/>
              <w:ind w:firstLine="0"/>
            </w:pPr>
            <w:r>
              <w:rPr>
                <w:sz w:val="21"/>
              </w:rPr>
              <w:t>電流：電源側單相</w:t>
            </w:r>
          </w:p>
        </w:tc>
        <w:tc>
          <w:tcPr>
            <w:tcW w:w="2438" w:type="dxa"/>
            <w:tcMar>
              <w:top w:w="85" w:type="dxa"/>
              <w:left w:w="85" w:type="dxa"/>
              <w:bottom w:w="85" w:type="dxa"/>
              <w:right w:w="85" w:type="dxa"/>
            </w:tcMar>
            <w:vAlign w:val="center"/>
          </w:tcPr>
          <w:p w14:paraId="25AB7B74" w14:textId="77777777" w:rsidR="00ED7F7C" w:rsidRDefault="00CD09D0">
            <w:pPr>
              <w:snapToGrid w:val="0"/>
              <w:spacing w:before="60" w:after="60" w:line="276" w:lineRule="auto"/>
              <w:ind w:firstLine="0"/>
            </w:pPr>
            <w:r>
              <w:rPr>
                <w:sz w:val="21"/>
              </w:rPr>
              <w:t>RMS</w:t>
            </w:r>
            <w:r>
              <w:rPr>
                <w:sz w:val="21"/>
              </w:rPr>
              <w:t>、峰值因數、基頻與低階諧波能量比</w:t>
            </w:r>
          </w:p>
        </w:tc>
        <w:tc>
          <w:tcPr>
            <w:tcW w:w="2438" w:type="dxa"/>
            <w:tcMar>
              <w:top w:w="85" w:type="dxa"/>
              <w:left w:w="85" w:type="dxa"/>
              <w:bottom w:w="85" w:type="dxa"/>
              <w:right w:w="85" w:type="dxa"/>
            </w:tcMar>
            <w:vAlign w:val="center"/>
          </w:tcPr>
          <w:p w14:paraId="3EABE8F5" w14:textId="77777777" w:rsidR="00ED7F7C" w:rsidRDefault="00CD09D0">
            <w:pPr>
              <w:snapToGrid w:val="0"/>
              <w:spacing w:before="60" w:after="60" w:line="276" w:lineRule="auto"/>
              <w:ind w:firstLine="0"/>
            </w:pPr>
            <w:r>
              <w:rPr>
                <w:sz w:val="21"/>
              </w:rPr>
              <w:t>A</w:t>
            </w:r>
            <w:r>
              <w:rPr>
                <w:sz w:val="21"/>
              </w:rPr>
              <w:t>或無因次比例；基頻依實際供電確認</w:t>
            </w:r>
          </w:p>
        </w:tc>
        <w:tc>
          <w:tcPr>
            <w:tcW w:w="2608" w:type="dxa"/>
            <w:tcMar>
              <w:top w:w="85" w:type="dxa"/>
              <w:left w:w="85" w:type="dxa"/>
              <w:bottom w:w="85" w:type="dxa"/>
              <w:right w:w="85" w:type="dxa"/>
            </w:tcMar>
            <w:vAlign w:val="center"/>
          </w:tcPr>
          <w:p w14:paraId="6414D458" w14:textId="77777777" w:rsidR="00ED7F7C" w:rsidRDefault="00CD09D0">
            <w:pPr>
              <w:snapToGrid w:val="0"/>
              <w:spacing w:before="60" w:after="60" w:line="276" w:lineRule="auto"/>
              <w:ind w:firstLine="0"/>
            </w:pPr>
            <w:r>
              <w:rPr>
                <w:sz w:val="21"/>
              </w:rPr>
              <w:t>反映單相負載趨勢，不冒充三相功率或完整電機診斷。</w:t>
            </w:r>
          </w:p>
        </w:tc>
      </w:tr>
      <w:tr w:rsidR="00ED7F7C" w14:paraId="5166AC39" w14:textId="77777777">
        <w:trPr>
          <w:cantSplit/>
          <w:jc w:val="center"/>
        </w:trPr>
        <w:tc>
          <w:tcPr>
            <w:tcW w:w="1701" w:type="dxa"/>
            <w:tcMar>
              <w:top w:w="85" w:type="dxa"/>
              <w:left w:w="85" w:type="dxa"/>
              <w:bottom w:w="85" w:type="dxa"/>
              <w:right w:w="85" w:type="dxa"/>
            </w:tcMar>
            <w:vAlign w:val="center"/>
          </w:tcPr>
          <w:p w14:paraId="76F17506" w14:textId="77777777" w:rsidR="00ED7F7C" w:rsidRDefault="00CD09D0">
            <w:pPr>
              <w:snapToGrid w:val="0"/>
              <w:spacing w:before="60" w:after="60" w:line="276" w:lineRule="auto"/>
              <w:ind w:firstLine="0"/>
            </w:pPr>
            <w:r>
              <w:rPr>
                <w:sz w:val="21"/>
              </w:rPr>
              <w:t>溫度：外殼與環境</w:t>
            </w:r>
          </w:p>
        </w:tc>
        <w:tc>
          <w:tcPr>
            <w:tcW w:w="2438" w:type="dxa"/>
            <w:tcMar>
              <w:top w:w="85" w:type="dxa"/>
              <w:left w:w="85" w:type="dxa"/>
              <w:bottom w:w="85" w:type="dxa"/>
              <w:right w:w="85" w:type="dxa"/>
            </w:tcMar>
            <w:vAlign w:val="center"/>
          </w:tcPr>
          <w:p w14:paraId="28236BA8" w14:textId="77777777" w:rsidR="00ED7F7C" w:rsidRDefault="00CD09D0">
            <w:pPr>
              <w:snapToGrid w:val="0"/>
              <w:spacing w:before="60" w:after="60" w:line="276" w:lineRule="auto"/>
              <w:ind w:firstLine="0"/>
            </w:pPr>
            <w:r>
              <w:rPr>
                <w:sz w:val="21"/>
              </w:rPr>
              <w:t>外殼溫度、外殼減環境溫差、最近</w:t>
            </w:r>
            <w:r>
              <w:rPr>
                <w:sz w:val="21"/>
              </w:rPr>
              <w:t>60</w:t>
            </w:r>
            <w:r>
              <w:rPr>
                <w:sz w:val="21"/>
              </w:rPr>
              <w:t>秒溫升斜率</w:t>
            </w:r>
          </w:p>
        </w:tc>
        <w:tc>
          <w:tcPr>
            <w:tcW w:w="2438" w:type="dxa"/>
            <w:tcMar>
              <w:top w:w="85" w:type="dxa"/>
              <w:left w:w="85" w:type="dxa"/>
              <w:bottom w:w="85" w:type="dxa"/>
              <w:right w:w="85" w:type="dxa"/>
            </w:tcMar>
            <w:vAlign w:val="center"/>
          </w:tcPr>
          <w:p w14:paraId="71E5C4E6" w14:textId="77777777" w:rsidR="00ED7F7C" w:rsidRDefault="00CD09D0">
            <w:pPr>
              <w:snapToGrid w:val="0"/>
              <w:spacing w:before="60" w:after="60" w:line="276" w:lineRule="auto"/>
              <w:ind w:firstLine="0"/>
            </w:pPr>
            <w:r>
              <w:rPr>
                <w:sz w:val="21"/>
              </w:rPr>
              <w:t>°C</w:t>
            </w:r>
            <w:r>
              <w:rPr>
                <w:sz w:val="21"/>
              </w:rPr>
              <w:t>、</w:t>
            </w:r>
            <w:r>
              <w:rPr>
                <w:sz w:val="21"/>
              </w:rPr>
              <w:t>°C/min</w:t>
            </w:r>
            <w:r>
              <w:rPr>
                <w:sz w:val="21"/>
              </w:rPr>
              <w:t>；斜率以有效低速樣本擬合</w:t>
            </w:r>
          </w:p>
        </w:tc>
        <w:tc>
          <w:tcPr>
            <w:tcW w:w="2608" w:type="dxa"/>
            <w:tcMar>
              <w:top w:w="85" w:type="dxa"/>
              <w:left w:w="85" w:type="dxa"/>
              <w:bottom w:w="85" w:type="dxa"/>
              <w:right w:w="85" w:type="dxa"/>
            </w:tcMar>
            <w:vAlign w:val="center"/>
          </w:tcPr>
          <w:p w14:paraId="16BFA697" w14:textId="77777777" w:rsidR="00ED7F7C" w:rsidRDefault="00CD09D0">
            <w:pPr>
              <w:snapToGrid w:val="0"/>
              <w:spacing w:before="60" w:after="60" w:line="276" w:lineRule="auto"/>
              <w:ind w:firstLine="0"/>
            </w:pPr>
            <w:r>
              <w:rPr>
                <w:sz w:val="21"/>
              </w:rPr>
              <w:t>熱慣性較慢；歷史不足就標記未就緒。</w:t>
            </w:r>
          </w:p>
        </w:tc>
      </w:tr>
      <w:tr w:rsidR="00ED7F7C" w14:paraId="465D933D" w14:textId="77777777">
        <w:trPr>
          <w:cantSplit/>
          <w:jc w:val="center"/>
        </w:trPr>
        <w:tc>
          <w:tcPr>
            <w:tcW w:w="1701" w:type="dxa"/>
            <w:tcMar>
              <w:top w:w="85" w:type="dxa"/>
              <w:left w:w="85" w:type="dxa"/>
              <w:bottom w:w="85" w:type="dxa"/>
              <w:right w:w="85" w:type="dxa"/>
            </w:tcMar>
            <w:vAlign w:val="center"/>
          </w:tcPr>
          <w:p w14:paraId="6AE9D77A" w14:textId="77777777" w:rsidR="00ED7F7C" w:rsidRDefault="00CD09D0">
            <w:pPr>
              <w:snapToGrid w:val="0"/>
              <w:spacing w:before="60" w:after="60" w:line="276" w:lineRule="auto"/>
              <w:ind w:firstLine="0"/>
            </w:pPr>
            <w:r>
              <w:rPr>
                <w:sz w:val="21"/>
              </w:rPr>
              <w:t>工況背景</w:t>
            </w:r>
          </w:p>
        </w:tc>
        <w:tc>
          <w:tcPr>
            <w:tcW w:w="2438" w:type="dxa"/>
            <w:tcMar>
              <w:top w:w="85" w:type="dxa"/>
              <w:left w:w="85" w:type="dxa"/>
              <w:bottom w:w="85" w:type="dxa"/>
              <w:right w:w="85" w:type="dxa"/>
            </w:tcMar>
            <w:vAlign w:val="center"/>
          </w:tcPr>
          <w:p w14:paraId="27FC5C2E" w14:textId="77777777" w:rsidR="00ED7F7C" w:rsidRDefault="00CD09D0">
            <w:pPr>
              <w:snapToGrid w:val="0"/>
              <w:spacing w:before="60" w:after="60" w:line="276" w:lineRule="auto"/>
              <w:ind w:firstLine="0"/>
            </w:pPr>
            <w:r>
              <w:rPr>
                <w:sz w:val="21"/>
              </w:rPr>
              <w:t>階段、轉速、入口壓力、啟動後時間、批次</w:t>
            </w:r>
          </w:p>
        </w:tc>
        <w:tc>
          <w:tcPr>
            <w:tcW w:w="2438" w:type="dxa"/>
            <w:tcMar>
              <w:top w:w="85" w:type="dxa"/>
              <w:left w:w="85" w:type="dxa"/>
              <w:bottom w:w="85" w:type="dxa"/>
              <w:right w:w="85" w:type="dxa"/>
            </w:tcMar>
            <w:vAlign w:val="center"/>
          </w:tcPr>
          <w:p w14:paraId="17692A1A" w14:textId="77777777" w:rsidR="00ED7F7C" w:rsidRDefault="00CD09D0">
            <w:pPr>
              <w:snapToGrid w:val="0"/>
              <w:spacing w:before="60" w:after="60" w:line="276" w:lineRule="auto"/>
              <w:ind w:firstLine="0"/>
            </w:pPr>
            <w:r>
              <w:rPr>
                <w:sz w:val="21"/>
              </w:rPr>
              <w:t>rpm</w:t>
            </w:r>
            <w:r>
              <w:rPr>
                <w:sz w:val="21"/>
              </w:rPr>
              <w:t>、</w:t>
            </w:r>
            <w:r>
              <w:rPr>
                <w:sz w:val="21"/>
              </w:rPr>
              <w:t>Pa</w:t>
            </w:r>
            <w:r>
              <w:rPr>
                <w:sz w:val="21"/>
              </w:rPr>
              <w:t>或固定換算單位、秒、識別碼</w:t>
            </w:r>
          </w:p>
        </w:tc>
        <w:tc>
          <w:tcPr>
            <w:tcW w:w="2608" w:type="dxa"/>
            <w:tcMar>
              <w:top w:w="85" w:type="dxa"/>
              <w:left w:w="85" w:type="dxa"/>
              <w:bottom w:w="85" w:type="dxa"/>
              <w:right w:w="85" w:type="dxa"/>
            </w:tcMar>
            <w:vAlign w:val="center"/>
          </w:tcPr>
          <w:p w14:paraId="3880F5AC" w14:textId="77777777" w:rsidR="00ED7F7C" w:rsidRDefault="00CD09D0">
            <w:pPr>
              <w:snapToGrid w:val="0"/>
              <w:spacing w:before="60" w:after="60" w:line="276" w:lineRule="auto"/>
              <w:ind w:firstLine="0"/>
            </w:pPr>
            <w:r>
              <w:rPr>
                <w:sz w:val="21"/>
              </w:rPr>
              <w:t>是條件資訊，不是故障標籤；機密配方以代碼取代。</w:t>
            </w:r>
          </w:p>
        </w:tc>
      </w:tr>
      <w:tr w:rsidR="00ED7F7C" w14:paraId="52D4206F" w14:textId="77777777">
        <w:trPr>
          <w:cantSplit/>
          <w:jc w:val="center"/>
        </w:trPr>
        <w:tc>
          <w:tcPr>
            <w:tcW w:w="1701" w:type="dxa"/>
            <w:tcMar>
              <w:top w:w="85" w:type="dxa"/>
              <w:left w:w="85" w:type="dxa"/>
              <w:bottom w:w="85" w:type="dxa"/>
              <w:right w:w="85" w:type="dxa"/>
            </w:tcMar>
            <w:vAlign w:val="center"/>
          </w:tcPr>
          <w:p w14:paraId="0EE65724" w14:textId="77777777" w:rsidR="00ED7F7C" w:rsidRDefault="00CD09D0">
            <w:pPr>
              <w:snapToGrid w:val="0"/>
              <w:spacing w:before="60" w:after="60" w:line="276" w:lineRule="auto"/>
              <w:ind w:firstLine="0"/>
            </w:pPr>
            <w:r>
              <w:rPr>
                <w:sz w:val="21"/>
              </w:rPr>
              <w:t>資料品質</w:t>
            </w:r>
          </w:p>
        </w:tc>
        <w:tc>
          <w:tcPr>
            <w:tcW w:w="2438" w:type="dxa"/>
            <w:tcMar>
              <w:top w:w="85" w:type="dxa"/>
              <w:left w:w="85" w:type="dxa"/>
              <w:bottom w:w="85" w:type="dxa"/>
              <w:right w:w="85" w:type="dxa"/>
            </w:tcMar>
            <w:vAlign w:val="center"/>
          </w:tcPr>
          <w:p w14:paraId="35A9BA99" w14:textId="77777777" w:rsidR="00ED7F7C" w:rsidRDefault="00CD09D0">
            <w:pPr>
              <w:snapToGrid w:val="0"/>
              <w:spacing w:before="60" w:after="60" w:line="276" w:lineRule="auto"/>
              <w:ind w:firstLine="0"/>
            </w:pPr>
            <w:r>
              <w:rPr>
                <w:sz w:val="21"/>
              </w:rPr>
              <w:t>缺樣比例、飽和旗標、資料年齡、模型覆蓋狀態</w:t>
            </w:r>
          </w:p>
        </w:tc>
        <w:tc>
          <w:tcPr>
            <w:tcW w:w="2438" w:type="dxa"/>
            <w:tcMar>
              <w:top w:w="85" w:type="dxa"/>
              <w:left w:w="85" w:type="dxa"/>
              <w:bottom w:w="85" w:type="dxa"/>
              <w:right w:w="85" w:type="dxa"/>
            </w:tcMar>
            <w:vAlign w:val="center"/>
          </w:tcPr>
          <w:p w14:paraId="4B68541A" w14:textId="77777777" w:rsidR="00ED7F7C" w:rsidRDefault="00CD09D0">
            <w:pPr>
              <w:snapToGrid w:val="0"/>
              <w:spacing w:before="60" w:after="60" w:line="276" w:lineRule="auto"/>
              <w:ind w:firstLine="0"/>
            </w:pPr>
            <w:r>
              <w:rPr>
                <w:sz w:val="21"/>
              </w:rPr>
              <w:t>比例、布林、秒</w:t>
            </w:r>
          </w:p>
        </w:tc>
        <w:tc>
          <w:tcPr>
            <w:tcW w:w="2608" w:type="dxa"/>
            <w:tcMar>
              <w:top w:w="85" w:type="dxa"/>
              <w:left w:w="85" w:type="dxa"/>
              <w:bottom w:w="85" w:type="dxa"/>
              <w:right w:w="85" w:type="dxa"/>
            </w:tcMar>
            <w:vAlign w:val="center"/>
          </w:tcPr>
          <w:p w14:paraId="7C6F3F16" w14:textId="77777777" w:rsidR="00ED7F7C" w:rsidRDefault="00CD09D0">
            <w:pPr>
              <w:snapToGrid w:val="0"/>
              <w:spacing w:before="60" w:after="60" w:line="276" w:lineRule="auto"/>
              <w:ind w:firstLine="0"/>
            </w:pPr>
            <w:r>
              <w:rPr>
                <w:sz w:val="21"/>
              </w:rPr>
              <w:t>先於</w:t>
            </w:r>
            <w:r>
              <w:rPr>
                <w:sz w:val="21"/>
              </w:rPr>
              <w:t>AI</w:t>
            </w:r>
            <w:r>
              <w:rPr>
                <w:sz w:val="21"/>
              </w:rPr>
              <w:t>判定；資料品質不良不得當成設備正常。</w:t>
            </w:r>
          </w:p>
        </w:tc>
      </w:tr>
    </w:tbl>
    <w:p w14:paraId="2EED1C77" w14:textId="77777777" w:rsidR="00ED7F7C" w:rsidRDefault="00ED7F7C">
      <w:pPr>
        <w:snapToGrid w:val="0"/>
        <w:spacing w:after="0"/>
        <w:jc w:val="both"/>
      </w:pPr>
    </w:p>
    <w:p w14:paraId="5969C869" w14:textId="77777777" w:rsidR="00ED7F7C" w:rsidRDefault="00CD09D0">
      <w:pPr>
        <w:keepNext/>
        <w:snapToGrid w:val="0"/>
        <w:spacing w:before="100" w:after="60" w:line="240" w:lineRule="auto"/>
        <w:ind w:firstLine="0"/>
        <w:jc w:val="center"/>
      </w:pPr>
      <w:r>
        <w:rPr>
          <w:noProof/>
        </w:rPr>
        <w:lastRenderedPageBreak/>
        <w:drawing>
          <wp:inline distT="0" distB="0" distL="0" distR="0" wp14:anchorId="0FCF3B8B" wp14:editId="1C2BF69A">
            <wp:extent cx="5688000" cy="2495755"/>
            <wp:effectExtent l="0" t="0" r="0" b="0"/>
            <wp:docPr id="3" name="圖18－多模態特徵及工況背景的融合關係：特徵熱圖" descr="合成資料示意，非實測結果；C1至C3為示例工況；92–103秒為構造偏移，108–111秒為構造缺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8.png"/>
                    <pic:cNvPicPr/>
                  </pic:nvPicPr>
                  <pic:blipFill>
                    <a:blip r:embed="rId12"/>
                    <a:stretch>
                      <a:fillRect/>
                    </a:stretch>
                  </pic:blipFill>
                  <pic:spPr>
                    <a:xfrm>
                      <a:off x="0" y="0"/>
                      <a:ext cx="5688000" cy="2495755"/>
                    </a:xfrm>
                    <a:prstGeom prst="rect">
                      <a:avLst/>
                    </a:prstGeom>
                  </pic:spPr>
                </pic:pic>
              </a:graphicData>
            </a:graphic>
          </wp:inline>
        </w:drawing>
      </w:r>
    </w:p>
    <w:p w14:paraId="4A3A536A" w14:textId="018CB1E3" w:rsidR="00ED7F7C" w:rsidRDefault="00CD09D0">
      <w:pPr>
        <w:pStyle w:val="af7"/>
        <w:snapToGrid w:val="0"/>
        <w:spacing w:after="200"/>
        <w:jc w:val="center"/>
      </w:pPr>
      <w:r>
        <w:rPr>
          <w:sz w:val="19"/>
        </w:rPr>
        <w:t>圖</w:t>
      </w:r>
      <w:r>
        <w:rPr>
          <w:sz w:val="19"/>
        </w:rPr>
        <w:t>18</w:t>
      </w:r>
      <w:r>
        <w:rPr>
          <w:sz w:val="19"/>
        </w:rPr>
        <w:t>、多模態特徵及工況背景的融合關係：特徵熱圖</w:t>
      </w:r>
      <w:r>
        <w:rPr>
          <w:sz w:val="19"/>
        </w:rPr>
        <w:br/>
      </w:r>
    </w:p>
    <w:p w14:paraId="3A9ED93B" w14:textId="77777777" w:rsidR="00ED7F7C" w:rsidRDefault="00CD09D0">
      <w:pPr>
        <w:snapToGrid w:val="0"/>
        <w:jc w:val="both"/>
      </w:pPr>
      <w:r>
        <w:t>「跨工況」分成兩個驗證層次。第一層是已知</w:t>
      </w:r>
      <w:r>
        <w:t>C1</w:t>
      </w:r>
      <w:r>
        <w:t>、</w:t>
      </w:r>
      <w:r>
        <w:t>C2</w:t>
      </w:r>
      <w:r>
        <w:t>、</w:t>
      </w:r>
      <w:r>
        <w:t>C3</w:t>
      </w:r>
      <w:r>
        <w:t>工況之間切換，使用各自基準確認不因正常切換大量誤報。第二層是留一工況測試：只用其餘工況建立全域比較模型，直接測試未見工況，量化分布改變；上線安全策略仍將未覆蓋工況標為未知。若再取得新工況的獨立正常校準批次，則另列為「少量校準後適應」，不可與完全未見工況的成效混在一起。此設計不宣稱單一模型可無條件適應任意製程。</w:t>
      </w:r>
    </w:p>
    <w:p w14:paraId="7B009076" w14:textId="77777777" w:rsidR="00ED7F7C" w:rsidRDefault="00CD09D0">
      <w:pPr>
        <w:snapToGrid w:val="0"/>
        <w:jc w:val="both"/>
      </w:pPr>
      <w:r>
        <w:t>為減少轉速與環境差異造成的干擾，溫度使用相對環境溫升，已知工況的連續特徵使用穩健標準化：</w:t>
      </w:r>
      <w:r>
        <w:t>z</w:t>
      </w:r>
      <w:r>
        <w:t>＝（</w:t>
      </w:r>
      <w:r>
        <w:t>x</w:t>
      </w:r>
      <w:r>
        <w:t>－</w:t>
      </w:r>
      <w:r>
        <w:t>m_c</w:t>
      </w:r>
      <w:r>
        <w:t>）／</w:t>
      </w:r>
      <w:r>
        <w:t>max</w:t>
      </w:r>
      <w:r>
        <w:t>（</w:t>
      </w:r>
      <w:r>
        <w:t>IQR_c</w:t>
      </w:r>
      <w:r>
        <w:t>，</w:t>
      </w:r>
      <w:r>
        <w:t>ε</w:t>
      </w:r>
      <w:r>
        <w:t>）。其中</w:t>
      </w:r>
      <w:r>
        <w:t>m_c</w:t>
      </w:r>
      <w:r>
        <w:t>與</w:t>
      </w:r>
      <w:r>
        <w:t>IQR_c</w:t>
      </w:r>
      <w:r>
        <w:t>只由該工況訓練批次估計，</w:t>
      </w:r>
      <w:r>
        <w:t>ε</w:t>
      </w:r>
      <w:r>
        <w:t>為避免除以零的預設下限。若可取得可靠轉速，可加上轉頻附近的能量作輔助；跨轉速階次追蹤則留作後續研究，不以固定</w:t>
      </w:r>
      <w:r>
        <w:t>FFT</w:t>
      </w:r>
      <w:r>
        <w:t>頻率冒充階次分析。</w:t>
      </w:r>
    </w:p>
    <w:p w14:paraId="5FB2EB83" w14:textId="77777777" w:rsidR="00ED7F7C" w:rsidRDefault="00CD09D0">
      <w:pPr>
        <w:pStyle w:val="31"/>
        <w:snapToGrid w:val="0"/>
      </w:pPr>
      <w:bookmarkStart w:id="29" w:name="_Toc242566369"/>
      <w:r>
        <w:lastRenderedPageBreak/>
        <w:t>(</w:t>
      </w:r>
      <w:r>
        <w:t>二</w:t>
      </w:r>
      <w:r>
        <w:t xml:space="preserve">) </w:t>
      </w:r>
      <w:r>
        <w:t>異常狀態偵測與判斷</w:t>
      </w:r>
      <w:bookmarkEnd w:id="29"/>
    </w:p>
    <w:p w14:paraId="6E01E91D" w14:textId="77777777" w:rsidR="00ED7F7C" w:rsidRDefault="00CD09D0">
      <w:pPr>
        <w:keepNext/>
        <w:snapToGrid w:val="0"/>
        <w:jc w:val="both"/>
      </w:pPr>
      <w:r>
        <w:t>判定順序為資料品質、運轉階段、工況覆蓋、模型分數及預警狀態。已知穩態且資料完整時，進入主模型；啟動、暖機與切換階段採獨立標記及經核准的基本限值監看。回到穩態的條件由轉速、壓力穩定範圍與持續時間共同決定，暫以連續</w:t>
      </w:r>
      <w:r>
        <w:t>30</w:t>
      </w:r>
      <w:r>
        <w:t>秒達條件為起點，再由預試修正；無法達穩態時顯示過渡狀態逾時，不能無限期隱藏警示。</w:t>
      </w:r>
      <w:r>
        <w:t>(</w:t>
      </w:r>
      <w:r>
        <w:t>如圖</w:t>
      </w:r>
      <w:r>
        <w:t>19)</w:t>
      </w:r>
    </w:p>
    <w:p w14:paraId="5A58E649" w14:textId="77777777" w:rsidR="00ED7F7C" w:rsidRDefault="00CD09D0">
      <w:pPr>
        <w:keepNext/>
        <w:snapToGrid w:val="0"/>
        <w:spacing w:before="100" w:after="60" w:line="240" w:lineRule="auto"/>
        <w:ind w:firstLine="0"/>
        <w:jc w:val="center"/>
      </w:pPr>
      <w:r>
        <w:rPr>
          <w:noProof/>
        </w:rPr>
        <w:drawing>
          <wp:inline distT="0" distB="0" distL="0" distR="0" wp14:anchorId="5DA020C6" wp14:editId="631639EC">
            <wp:extent cx="5688000" cy="2785959"/>
            <wp:effectExtent l="0" t="0" r="0" b="0"/>
            <wp:docPr id="4" name="圖19－異常偵測與非正常資料的分支判斷：分數與流程示例" descr="合成資料示意，非實測結果；展示門檻及品質分流格式，非經模型推論所得的測試成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9.png"/>
                    <pic:cNvPicPr/>
                  </pic:nvPicPr>
                  <pic:blipFill>
                    <a:blip r:embed="rId13"/>
                    <a:stretch>
                      <a:fillRect/>
                    </a:stretch>
                  </pic:blipFill>
                  <pic:spPr>
                    <a:xfrm>
                      <a:off x="0" y="0"/>
                      <a:ext cx="5688000" cy="2785959"/>
                    </a:xfrm>
                    <a:prstGeom prst="rect">
                      <a:avLst/>
                    </a:prstGeom>
                  </pic:spPr>
                </pic:pic>
              </a:graphicData>
            </a:graphic>
          </wp:inline>
        </w:drawing>
      </w:r>
    </w:p>
    <w:p w14:paraId="1F8755F7" w14:textId="50C06FC5" w:rsidR="00ED7F7C" w:rsidRDefault="00CD09D0">
      <w:pPr>
        <w:pStyle w:val="af7"/>
        <w:snapToGrid w:val="0"/>
        <w:spacing w:after="200"/>
        <w:jc w:val="center"/>
      </w:pPr>
      <w:r>
        <w:rPr>
          <w:sz w:val="19"/>
        </w:rPr>
        <w:t>圖</w:t>
      </w:r>
      <w:r>
        <w:rPr>
          <w:sz w:val="19"/>
        </w:rPr>
        <w:t>19</w:t>
      </w:r>
      <w:r>
        <w:rPr>
          <w:sz w:val="19"/>
        </w:rPr>
        <w:t>、異常偵測與非正常資料的分支判斷：分數與流程示例</w:t>
      </w:r>
      <w:r>
        <w:rPr>
          <w:sz w:val="19"/>
        </w:rPr>
        <w:br/>
      </w:r>
    </w:p>
    <w:p w14:paraId="25F9973C" w14:textId="77777777" w:rsidR="00ED7F7C" w:rsidRDefault="00CD09D0">
      <w:pPr>
        <w:snapToGrid w:val="0"/>
        <w:jc w:val="both"/>
      </w:pPr>
      <w:r>
        <w:t>訓練、驗證與測試資料以整個日期或運轉批次分組，再於各組內切視窗，不隨機打散高度重疊的視窗。任何特徵標準化、模型選擇及門檻調整都不能使用最終測試資料。</w:t>
      </w:r>
      <w:r>
        <w:t>Autoencoder</w:t>
      </w:r>
      <w:r>
        <w:t>的</w:t>
      </w:r>
      <w:r>
        <w:t>30</w:t>
      </w:r>
      <w:r>
        <w:t>秒序列與溫度</w:t>
      </w:r>
      <w:r>
        <w:t>60</w:t>
      </w:r>
      <w:r>
        <w:t>秒回看不得跨越資料集邊界；若迫不得已切分同一連續紀錄，邊界需預留至少</w:t>
      </w:r>
      <w:r>
        <w:t>60</w:t>
      </w:r>
      <w:r>
        <w:t>秒隔離帶，並清空回看緩衝。所有比較模型使用相同測試批次、相同事件標記與可用工況資訊。</w:t>
      </w:r>
    </w:p>
    <w:p w14:paraId="732B9C9B" w14:textId="77777777" w:rsidR="00ED7F7C" w:rsidRDefault="00CD09D0">
      <w:pPr>
        <w:snapToGrid w:val="0"/>
        <w:jc w:val="both"/>
      </w:pPr>
      <w:r>
        <w:t>比較對象包括單一震動固定門檻、未區分工況的多模態模型，以及本設計的工況感知多模態模型。測試另做移除電流或溫度的消融比較，確認新增感測器是否真正帶來價值。評估以事件為單位：召回率＝被偵測的已標記事件數／全部有效已標記事件數；精確率＝正確事件通知數／全部事件通知數；誤報負擔＝無對應異常的事件數／正常運轉小時數。分母為零時記為不適用，不顯示</w:t>
      </w:r>
      <w:r>
        <w:t>100%</w:t>
      </w:r>
      <w:r>
        <w:t>。</w:t>
      </w:r>
    </w:p>
    <w:p w14:paraId="6B23CEE8" w14:textId="77777777" w:rsidR="00ED7F7C" w:rsidRDefault="00CD09D0">
      <w:pPr>
        <w:snapToGrid w:val="0"/>
        <w:jc w:val="both"/>
      </w:pPr>
      <w:r>
        <w:t>若有具時間標記的真實故障或維護紀錄，再計算首次有效預警到事件發生的提前量；沒有真實事件就不報故障提前量。離線注入脈衝、溫升或尺度偏移只能驗證資料流程與偵測反應，不能證明能提前預測泵浦損壞。跨工況指標需同時列出每個工況、整體平均及最差工況，不只選擇表現最好的一段。</w:t>
      </w:r>
    </w:p>
    <w:p w14:paraId="57C58A00" w14:textId="77777777" w:rsidR="00ED7F7C" w:rsidRDefault="00CD09D0">
      <w:pPr>
        <w:pStyle w:val="21"/>
        <w:snapToGrid w:val="0"/>
      </w:pPr>
      <w:bookmarkStart w:id="30" w:name="_Toc242566370"/>
      <w:r>
        <w:lastRenderedPageBreak/>
        <w:t>六、系統介面</w:t>
      </w:r>
      <w:r>
        <w:t>/</w:t>
      </w:r>
      <w:r>
        <w:t>儀表板簡介</w:t>
      </w:r>
      <w:bookmarkEnd w:id="30"/>
    </w:p>
    <w:p w14:paraId="504BF53F" w14:textId="77777777" w:rsidR="00ED7F7C" w:rsidRDefault="00CD09D0">
      <w:pPr>
        <w:pStyle w:val="31"/>
        <w:snapToGrid w:val="0"/>
      </w:pPr>
      <w:bookmarkStart w:id="31" w:name="_Toc242566371"/>
      <w:r>
        <w:t>(</w:t>
      </w:r>
      <w:r>
        <w:t>一</w:t>
      </w:r>
      <w:r>
        <w:t xml:space="preserve">) </w:t>
      </w:r>
      <w:r>
        <w:t>設備健康度即時掃描與顯示</w:t>
      </w:r>
      <w:bookmarkEnd w:id="31"/>
    </w:p>
    <w:p w14:paraId="0D0C4429" w14:textId="77777777" w:rsidR="00ED7F7C" w:rsidRDefault="00CD09D0">
      <w:pPr>
        <w:keepNext/>
        <w:snapToGrid w:val="0"/>
        <w:jc w:val="both"/>
      </w:pPr>
      <w:r>
        <w:t>儀表板以設備卡片顯示目前工況、資料時間、三種模態狀態及正常／預警／警報／資料不足的文字標籤。綠、黃、紅、灰色僅用於輔助辨識，不能只用顏色傳達重要訊息。此處「即時掃描」是持續更新量測與分析結果，不是使用相機掃描設備。資料有效時每秒更新摘要，超時就凍結數值並清楚顯示資料年齡，不讓舊的綠燈看起來像仍在監測。</w:t>
      </w:r>
      <w:r>
        <w:t>(</w:t>
      </w:r>
      <w:r>
        <w:t>如圖</w:t>
      </w:r>
      <w:r>
        <w:t>20)</w:t>
      </w:r>
    </w:p>
    <w:p w14:paraId="2A9F9D4E" w14:textId="77777777" w:rsidR="00ED7F7C" w:rsidRDefault="00CD09D0">
      <w:pPr>
        <w:keepNext/>
        <w:snapToGrid w:val="0"/>
        <w:spacing w:before="100" w:after="60" w:line="240" w:lineRule="auto"/>
        <w:ind w:firstLine="0"/>
        <w:jc w:val="center"/>
      </w:pPr>
      <w:r>
        <w:rPr>
          <w:noProof/>
        </w:rPr>
        <w:drawing>
          <wp:inline distT="0" distB="0" distL="0" distR="0" wp14:anchorId="66B90573" wp14:editId="6312EA23">
            <wp:extent cx="5688000" cy="2205551"/>
            <wp:effectExtent l="0" t="0" r="0" b="0"/>
            <wp:docPr id="5" name="圖20－設備健康度即時總覽畫面：四種狀態卡片版型" descr="介面設計示意，非實測畫面；此圖為四種狀態的版型展示，而非四台設備的實際監測截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0.png"/>
                    <pic:cNvPicPr/>
                  </pic:nvPicPr>
                  <pic:blipFill>
                    <a:blip r:embed="rId14"/>
                    <a:stretch>
                      <a:fillRect/>
                    </a:stretch>
                  </pic:blipFill>
                  <pic:spPr>
                    <a:xfrm>
                      <a:off x="0" y="0"/>
                      <a:ext cx="5688000" cy="2205551"/>
                    </a:xfrm>
                    <a:prstGeom prst="rect">
                      <a:avLst/>
                    </a:prstGeom>
                  </pic:spPr>
                </pic:pic>
              </a:graphicData>
            </a:graphic>
          </wp:inline>
        </w:drawing>
      </w:r>
    </w:p>
    <w:p w14:paraId="48628CF5" w14:textId="6030F1FD" w:rsidR="00ED7F7C" w:rsidRDefault="00CD09D0">
      <w:pPr>
        <w:pStyle w:val="af7"/>
        <w:snapToGrid w:val="0"/>
        <w:spacing w:after="200"/>
        <w:jc w:val="center"/>
      </w:pPr>
      <w:r>
        <w:rPr>
          <w:sz w:val="19"/>
        </w:rPr>
        <w:t>圖</w:t>
      </w:r>
      <w:r>
        <w:rPr>
          <w:sz w:val="19"/>
        </w:rPr>
        <w:t>20</w:t>
      </w:r>
      <w:r>
        <w:rPr>
          <w:sz w:val="19"/>
        </w:rPr>
        <w:t>、設備健康度即時總覽畫面：四種狀態卡片版型</w:t>
      </w:r>
      <w:r>
        <w:rPr>
          <w:sz w:val="19"/>
        </w:rPr>
        <w:br/>
      </w:r>
    </w:p>
    <w:p w14:paraId="07C661C2" w14:textId="77777777" w:rsidR="00ED7F7C" w:rsidRDefault="00CD09D0">
      <w:pPr>
        <w:snapToGrid w:val="0"/>
        <w:jc w:val="both"/>
      </w:pPr>
      <w:r>
        <w:t>若需要</w:t>
      </w:r>
      <w:r>
        <w:t>0</w:t>
      </w:r>
      <w:r>
        <w:t>至</w:t>
      </w:r>
      <w:r>
        <w:t>100</w:t>
      </w:r>
      <w:r>
        <w:t>的健康指標，先令</w:t>
      </w:r>
      <w:r>
        <w:t>S</w:t>
      </w:r>
      <w:r>
        <w:t>為異常分數、</w:t>
      </w:r>
      <w:r>
        <w:t>a</w:t>
      </w:r>
      <w:r>
        <w:t>為正常驗證分數的中位數、</w:t>
      </w:r>
      <w:r>
        <w:t>b</w:t>
      </w:r>
      <w:r>
        <w:t>為預警門檻，定義</w:t>
      </w:r>
      <w:r>
        <w:t>H</w:t>
      </w:r>
      <w:r>
        <w:t>＝</w:t>
      </w:r>
      <w:r>
        <w:t>100×clip</w:t>
      </w:r>
      <w:r>
        <w:t>［</w:t>
      </w:r>
      <w:r>
        <w:t>1</w:t>
      </w:r>
      <w:r>
        <w:t>－（</w:t>
      </w:r>
      <w:r>
        <w:t>S</w:t>
      </w:r>
      <w:r>
        <w:t>－</w:t>
      </w:r>
      <w:r>
        <w:t>a</w:t>
      </w:r>
      <w:r>
        <w:t>）／（</w:t>
      </w:r>
      <w:r>
        <w:t>2×</w:t>
      </w:r>
      <w:r>
        <w:t>（</w:t>
      </w:r>
      <w:r>
        <w:t>b</w:t>
      </w:r>
      <w:r>
        <w:t>－</w:t>
      </w:r>
      <w:r>
        <w:t>a</w:t>
      </w:r>
      <w:r>
        <w:t>）），</w:t>
      </w:r>
      <w:r>
        <w:t>0</w:t>
      </w:r>
      <w:r>
        <w:t>，</w:t>
      </w:r>
      <w:r>
        <w:t>1</w:t>
      </w:r>
      <w:r>
        <w:t>］，且僅在</w:t>
      </w:r>
      <w:r>
        <w:t>b</w:t>
      </w:r>
      <w:r>
        <w:t>大於</w:t>
      </w:r>
      <w:r>
        <w:t>a</w:t>
      </w:r>
      <w:r>
        <w:t>、資料完整與工況已知時使用。</w:t>
      </w:r>
      <w:r>
        <w:t>H</w:t>
      </w:r>
      <w:r>
        <w:t>只用於趨勢展示，門檻處對應</w:t>
      </w:r>
      <w:r>
        <w:t>50</w:t>
      </w:r>
      <w:r>
        <w:t>分，不是剩餘壽命百分比，也不是故障機率。告警仍依前述狀態機判定，未知工況時顯示「不評分」，避免漂亮的分數掩蓋不確定性。</w:t>
      </w:r>
    </w:p>
    <w:p w14:paraId="60A0FF47" w14:textId="77777777" w:rsidR="00ED7F7C" w:rsidRDefault="00CD09D0">
      <w:pPr>
        <w:pStyle w:val="31"/>
        <w:snapToGrid w:val="0"/>
      </w:pPr>
      <w:bookmarkStart w:id="32" w:name="_Toc242566372"/>
      <w:r>
        <w:lastRenderedPageBreak/>
        <w:t>(</w:t>
      </w:r>
      <w:r>
        <w:t>二</w:t>
      </w:r>
      <w:r>
        <w:t xml:space="preserve">) </w:t>
      </w:r>
      <w:r>
        <w:t>主畫面和預警說明</w:t>
      </w:r>
      <w:bookmarkEnd w:id="32"/>
    </w:p>
    <w:p w14:paraId="1B6E42A7" w14:textId="77777777" w:rsidR="00ED7F7C" w:rsidRDefault="00CD09D0">
      <w:pPr>
        <w:keepNext/>
        <w:snapToGrid w:val="0"/>
        <w:jc w:val="both"/>
      </w:pPr>
      <w:r>
        <w:t>主畫面上方顯示設備識別、模型版本、運轉階段與最後更新時間；中間以共用時間軸呈現震動</w:t>
      </w:r>
      <w:r>
        <w:t>RMS</w:t>
      </w:r>
      <w:r>
        <w:t>、電流</w:t>
      </w:r>
      <w:r>
        <w:t>RMS</w:t>
      </w:r>
      <w:r>
        <w:t>、外殼溫升及異常分數，背景標出工況切換與資料缺口；下方列出預警事件。點選事件後可查看觸發條件、異常特徵、前後波形檔案位置及處理紀錄，使操作者不必只憑紅燈猜測原因。</w:t>
      </w:r>
      <w:r>
        <w:t>(</w:t>
      </w:r>
      <w:r>
        <w:t>如圖</w:t>
      </w:r>
      <w:r>
        <w:t>21)</w:t>
      </w:r>
    </w:p>
    <w:p w14:paraId="6FFFBDCF" w14:textId="77777777" w:rsidR="00ED7F7C" w:rsidRDefault="00CD09D0">
      <w:pPr>
        <w:keepNext/>
        <w:snapToGrid w:val="0"/>
        <w:spacing w:before="100" w:after="60" w:line="240" w:lineRule="auto"/>
        <w:ind w:firstLine="0"/>
        <w:jc w:val="center"/>
      </w:pPr>
      <w:r>
        <w:rPr>
          <w:noProof/>
        </w:rPr>
        <w:drawing>
          <wp:inline distT="0" distB="0" distL="0" distR="0" wp14:anchorId="67AD26FD" wp14:editId="36792298">
            <wp:extent cx="5688000" cy="3192245"/>
            <wp:effectExtent l="0" t="0" r="0" b="0"/>
            <wp:docPr id="6" name="圖21－主畫面、趨勢曲線與預警事件明細：多模態趨勢示例" descr="合成資料示意，非實測結果；圖中量測值、偏移及資料缺口均為人工構造，僅供後續實驗圖表格式參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1.png"/>
                    <pic:cNvPicPr/>
                  </pic:nvPicPr>
                  <pic:blipFill>
                    <a:blip r:embed="rId15"/>
                    <a:stretch>
                      <a:fillRect/>
                    </a:stretch>
                  </pic:blipFill>
                  <pic:spPr>
                    <a:xfrm>
                      <a:off x="0" y="0"/>
                      <a:ext cx="5688000" cy="3192245"/>
                    </a:xfrm>
                    <a:prstGeom prst="rect">
                      <a:avLst/>
                    </a:prstGeom>
                  </pic:spPr>
                </pic:pic>
              </a:graphicData>
            </a:graphic>
          </wp:inline>
        </w:drawing>
      </w:r>
    </w:p>
    <w:p w14:paraId="4121906E" w14:textId="30747CCA" w:rsidR="00ED7F7C" w:rsidRDefault="00CD09D0">
      <w:pPr>
        <w:pStyle w:val="af7"/>
        <w:snapToGrid w:val="0"/>
        <w:spacing w:after="200"/>
        <w:jc w:val="center"/>
      </w:pPr>
      <w:r>
        <w:rPr>
          <w:sz w:val="19"/>
        </w:rPr>
        <w:t>圖</w:t>
      </w:r>
      <w:r>
        <w:rPr>
          <w:sz w:val="19"/>
        </w:rPr>
        <w:t>21</w:t>
      </w:r>
      <w:r>
        <w:rPr>
          <w:sz w:val="19"/>
        </w:rPr>
        <w:t>、主畫面、趨勢曲線與預警事件明細：多模態趨勢示例</w:t>
      </w:r>
      <w:r>
        <w:rPr>
          <w:sz w:val="19"/>
        </w:rPr>
        <w:br/>
      </w:r>
    </w:p>
    <w:p w14:paraId="3FAEAAE5" w14:textId="77777777" w:rsidR="00ED7F7C" w:rsidRDefault="00CD09D0">
      <w:pPr>
        <w:snapToGrid w:val="0"/>
        <w:jc w:val="both"/>
      </w:pPr>
      <w:r>
        <w:t>通知文字採「觀察到什麼、與哪個工況比較、建議先檢查什麼」的順序，例如提示震動持續偏高並伴隨電流增加，請依維護程序檢查安裝、負載及原廠狀態碼。系統不直接診斷「軸承一定損壞」。人工按下確認只代表已接收通知，不能消除仍存在的異常；處理者另填檢查結果、維護內容和時間，作為未來標記及模型檢討的依據。</w:t>
      </w:r>
    </w:p>
    <w:p w14:paraId="2ADEF25A" w14:textId="77777777" w:rsidR="00ED7F7C" w:rsidRDefault="00CD09D0">
      <w:pPr>
        <w:pStyle w:val="31"/>
        <w:snapToGrid w:val="0"/>
      </w:pPr>
      <w:bookmarkStart w:id="33" w:name="_Toc242566373"/>
      <w:r>
        <w:t>(</w:t>
      </w:r>
      <w:r>
        <w:t>三</w:t>
      </w:r>
      <w:r>
        <w:t xml:space="preserve">) </w:t>
      </w:r>
      <w:r>
        <w:t>工況參數設定畫面</w:t>
      </w:r>
      <w:bookmarkEnd w:id="33"/>
    </w:p>
    <w:p w14:paraId="46043465" w14:textId="77777777" w:rsidR="00ED7F7C" w:rsidRDefault="00CD09D0">
      <w:pPr>
        <w:keepNext/>
        <w:snapToGrid w:val="0"/>
        <w:jc w:val="both"/>
      </w:pPr>
      <w:r>
        <w:t>設定頁提供設備代碼、感測器靈敏度、量程、採樣參數、工況區間、模型版本及通知對象等欄位。取樣率、濾波或特徵結構變更須停用相關模型，完成重新校準與驗證後才重新啟用；不能只改數字就繼續使用舊模型。工況名稱採非機密代碼，不記錄不必要的製程配方。所有變更記錄原值、新值、理由、操作者及生效時間。</w:t>
      </w:r>
      <w:r>
        <w:t>(</w:t>
      </w:r>
      <w:r>
        <w:t>如圖</w:t>
      </w:r>
      <w:r>
        <w:t>22)</w:t>
      </w:r>
    </w:p>
    <w:p w14:paraId="2A5AEE65"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【圖片預留】預留設定頁截圖；敏感資訊與網路憑證不可出現在報告。</w:t>
      </w:r>
    </w:p>
    <w:p w14:paraId="7D785B26" w14:textId="77777777" w:rsidR="00ED7F7C" w:rsidRDefault="00CD09D0">
      <w:pPr>
        <w:pStyle w:val="af7"/>
        <w:snapToGrid w:val="0"/>
        <w:spacing w:after="200"/>
        <w:jc w:val="center"/>
      </w:pPr>
      <w:r>
        <w:t>圖</w:t>
      </w:r>
      <w:r>
        <w:t>22</w:t>
      </w:r>
      <w:r>
        <w:t>、工況範圍、模型版本及權限設定畫面（插圖待補）</w:t>
      </w:r>
    </w:p>
    <w:p w14:paraId="0D4DC56E" w14:textId="77777777" w:rsidR="00ED7F7C" w:rsidRDefault="00CD09D0">
      <w:pPr>
        <w:snapToGrid w:val="0"/>
        <w:jc w:val="both"/>
      </w:pPr>
      <w:r>
        <w:lastRenderedPageBreak/>
        <w:t>操作權限分為檢視者、維護者及管理者。檢視者只能查詢；維護者可確認事件與填寫紀錄；模型部署、門檻變更和安全通知限值須經管理者與設備負責人核准。設定送出後，邊緣端回報載入版本及檢核結果，管理頁確認一致才顯示生效；若檢核失敗，保留舊版並提示原因。原廠安全連鎖完全不由此頁修改。</w:t>
      </w:r>
    </w:p>
    <w:p w14:paraId="7B9BD3EA" w14:textId="77777777" w:rsidR="00ED7F7C" w:rsidRDefault="00CD09D0">
      <w:pPr>
        <w:pStyle w:val="1"/>
        <w:pageBreakBefore/>
        <w:snapToGrid w:val="0"/>
      </w:pPr>
      <w:bookmarkStart w:id="34" w:name="_Toc242566374"/>
      <w:r>
        <w:lastRenderedPageBreak/>
        <w:t>伍、研究結果</w:t>
      </w:r>
      <w:bookmarkEnd w:id="34"/>
    </w:p>
    <w:p w14:paraId="241DB8BD" w14:textId="77777777" w:rsidR="00D0235A" w:rsidRDefault="00657D96">
      <w:pPr>
        <w:spacing w:after="160" w:line="300" w:lineRule="exact"/>
        <w:ind w:firstLine="0"/>
      </w:pPr>
      <w:r>
        <w:rPr>
          <w:color w:val="A74335"/>
          <w:sz w:val="20"/>
        </w:rPr>
        <w:t>本版圖像說明：新增圖表僅為合成資料或介面／系統設計示意，不是實驗結果。正式測試後，請以相同圖號替換，補上批次、日期、工況、單位與原始資料出處；未完成測試的表格仍維持「待測」。</w:t>
      </w:r>
    </w:p>
    <w:p w14:paraId="2344E089" w14:textId="77777777" w:rsidR="00ED7F7C" w:rsidRDefault="00CD09D0">
      <w:pPr>
        <w:snapToGrid w:val="0"/>
        <w:jc w:val="both"/>
      </w:pPr>
      <w:r>
        <w:t>本章呈現本說明書已界定的設計成果、預定成品形式與後續驗證準則。目前沒有提供真空泵實測資料、實機照片或已執行的模型紀錄，因此不宣稱完成硬體組裝、達成辨識率或減少實際晶圓損失。下列表格中的數值均為設計目標或測試安排，「待測」欄位必須待實驗完成後據實填寫。</w:t>
      </w:r>
    </w:p>
    <w:p w14:paraId="2466B240" w14:textId="77777777" w:rsidR="00ED7F7C" w:rsidRDefault="00CD09D0">
      <w:pPr>
        <w:pStyle w:val="21"/>
        <w:snapToGrid w:val="0"/>
      </w:pPr>
      <w:bookmarkStart w:id="35" w:name="_Toc242566375"/>
      <w:r>
        <w:t>一、專題流程</w:t>
      </w:r>
      <w:bookmarkEnd w:id="35"/>
    </w:p>
    <w:p w14:paraId="12D109DC" w14:textId="77777777" w:rsidR="00ED7F7C" w:rsidRDefault="00CD09D0">
      <w:pPr>
        <w:snapToGrid w:val="0"/>
        <w:jc w:val="both"/>
      </w:pPr>
      <w:r>
        <w:t>系統啟動後，先載入設備設定、校正係數、模型與待處理事件，檢查</w:t>
      </w:r>
      <w:r>
        <w:t>DAQ</w:t>
      </w:r>
      <w:r>
        <w:t>、溫度通道、磁碟及網路。</w:t>
      </w:r>
      <w:r>
        <w:t>DAQ</w:t>
      </w:r>
      <w:r>
        <w:t>或關鍵通道未就緒時，顯示資料不足並記錄原因；伺服器不可達時，若本地量測正常，仍繼續執行預警並暫存。接著取得硬體樣本序號與低速資料，檢查缺樣、量程及時間一致性。資料有效才組成特徵，不將缺值補零後送入完整融合模型。</w:t>
      </w:r>
    </w:p>
    <w:p w14:paraId="7873F0C5" w14:textId="77777777" w:rsidR="00ED7F7C" w:rsidRDefault="00CD09D0">
      <w:pPr>
        <w:snapToGrid w:val="0"/>
        <w:jc w:val="both"/>
      </w:pPr>
      <w:r>
        <w:t>取得有效特徵後，先確認設備是否停機、暖機、切換或穩態。非穩態保留基本限值監看與原始紀錄；穩態再檢查工況是否受模型覆蓋。已知工況進入異常分數計算，未知工況顯示待校準而不判正常。分數超標先經多視窗投票，再依持續時間、跨模態佐證或安全通知條件決定預警等級；若未超標，就持續記錄並等待下一個視窗。</w:t>
      </w:r>
    </w:p>
    <w:p w14:paraId="12E8AA15" w14:textId="77777777" w:rsidR="00ED7F7C" w:rsidRDefault="00CD09D0">
      <w:pPr>
        <w:keepNext/>
        <w:snapToGrid w:val="0"/>
        <w:jc w:val="both"/>
      </w:pPr>
      <w:r>
        <w:t>觸發事件時保存前</w:t>
      </w:r>
      <w:r>
        <w:t>60</w:t>
      </w:r>
      <w:r>
        <w:t>秒及後</w:t>
      </w:r>
      <w:r>
        <w:t>60</w:t>
      </w:r>
      <w:r>
        <w:t>秒原始波形、特徵、工況和模型版本，更新本地指示並傳送事件摘要。使用者確認後仍持續追蹤；只有符合解除條件才將狀態恢復，事件紀錄永遠保留。斷線補傳的資料標記原量測時間，不能重新當成剛發生的事件推播。這個流程的重點，是讓每次判斷都有資料可追查，並能明確區分設備異常與監測系統本身的問題。</w:t>
      </w:r>
      <w:r>
        <w:t>(</w:t>
      </w:r>
      <w:r>
        <w:t>如圖</w:t>
      </w:r>
      <w:r>
        <w:t>23)</w:t>
      </w:r>
    </w:p>
    <w:p w14:paraId="02D1AC7E"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【圖片預留】預留流程圖，涵蓋啟動檢查、工況分流、告警、確認、解除與補傳。</w:t>
      </w:r>
    </w:p>
    <w:p w14:paraId="40D30E7A" w14:textId="77777777" w:rsidR="00ED7F7C" w:rsidRDefault="00CD09D0">
      <w:pPr>
        <w:pStyle w:val="af7"/>
        <w:snapToGrid w:val="0"/>
        <w:spacing w:after="200"/>
        <w:jc w:val="center"/>
      </w:pPr>
      <w:r>
        <w:t>圖</w:t>
      </w:r>
      <w:r>
        <w:t>23</w:t>
      </w:r>
      <w:r>
        <w:t>、專題系統完整運作與判斷流程（插圖待補）</w:t>
      </w:r>
    </w:p>
    <w:p w14:paraId="7BDF3AB5" w14:textId="77777777" w:rsidR="00ED7F7C" w:rsidRDefault="00CD09D0">
      <w:pPr>
        <w:pStyle w:val="af7"/>
        <w:keepNext/>
        <w:snapToGrid w:val="0"/>
      </w:pPr>
      <w:r>
        <w:rPr>
          <w:b/>
        </w:rPr>
        <w:t>表</w:t>
      </w:r>
      <w:r>
        <w:rPr>
          <w:b/>
        </w:rPr>
        <w:t>3</w:t>
      </w:r>
      <w:r>
        <w:rPr>
          <w:b/>
        </w:rPr>
        <w:t>、整合測試項目、預定準則與結果欄位</w:t>
      </w:r>
    </w:p>
    <w:tbl>
      <w:tblPr>
        <w:tblStyle w:val="aff2"/>
        <w:tblW w:w="0" w:type="auto"/>
        <w:jc w:val="center"/>
        <w:tblLayout w:type="fixed"/>
        <w:tblLook w:val="04A0" w:firstRow="1" w:lastRow="0" w:firstColumn="1" w:lastColumn="0" w:noHBand="0" w:noVBand="1"/>
      </w:tblPr>
      <w:tblGrid>
        <w:gridCol w:w="1984"/>
        <w:gridCol w:w="3288"/>
        <w:gridCol w:w="3912"/>
      </w:tblGrid>
      <w:tr w:rsidR="00ED7F7C" w14:paraId="46F0D9DB" w14:textId="77777777">
        <w:trPr>
          <w:cantSplit/>
          <w:tblHeader/>
          <w:jc w:val="center"/>
        </w:trPr>
        <w:tc>
          <w:tcPr>
            <w:tcW w:w="1984" w:type="dxa"/>
            <w:shd w:val="clear" w:color="auto" w:fill="E9EFF5"/>
            <w:tcMar>
              <w:top w:w="85" w:type="dxa"/>
              <w:left w:w="85" w:type="dxa"/>
              <w:bottom w:w="85" w:type="dxa"/>
              <w:right w:w="85" w:type="dxa"/>
            </w:tcMar>
            <w:vAlign w:val="center"/>
          </w:tcPr>
          <w:p w14:paraId="3DDC212C" w14:textId="77777777" w:rsidR="00ED7F7C" w:rsidRDefault="00CD09D0">
            <w:pPr>
              <w:keepNext/>
              <w:snapToGrid w:val="0"/>
              <w:spacing w:before="60" w:after="60" w:line="276" w:lineRule="auto"/>
              <w:ind w:firstLine="0"/>
            </w:pPr>
            <w:r>
              <w:rPr>
                <w:b/>
                <w:color w:val="16324F"/>
                <w:sz w:val="21"/>
              </w:rPr>
              <w:t>測試項目</w:t>
            </w:r>
          </w:p>
        </w:tc>
        <w:tc>
          <w:tcPr>
            <w:tcW w:w="3288" w:type="dxa"/>
            <w:shd w:val="clear" w:color="auto" w:fill="E9EFF5"/>
            <w:tcMar>
              <w:top w:w="85" w:type="dxa"/>
              <w:left w:w="85" w:type="dxa"/>
              <w:bottom w:w="85" w:type="dxa"/>
              <w:right w:w="85" w:type="dxa"/>
            </w:tcMar>
            <w:vAlign w:val="center"/>
          </w:tcPr>
          <w:p w14:paraId="40F172B8" w14:textId="77777777" w:rsidR="00ED7F7C" w:rsidRDefault="00CD09D0">
            <w:pPr>
              <w:keepNext/>
              <w:snapToGrid w:val="0"/>
              <w:spacing w:before="60" w:after="60" w:line="276" w:lineRule="auto"/>
              <w:ind w:firstLine="0"/>
            </w:pPr>
            <w:r>
              <w:rPr>
                <w:b/>
                <w:color w:val="16324F"/>
                <w:sz w:val="21"/>
              </w:rPr>
              <w:t>方法與紀錄</w:t>
            </w:r>
          </w:p>
        </w:tc>
        <w:tc>
          <w:tcPr>
            <w:tcW w:w="3912" w:type="dxa"/>
            <w:shd w:val="clear" w:color="auto" w:fill="E9EFF5"/>
            <w:tcMar>
              <w:top w:w="85" w:type="dxa"/>
              <w:left w:w="85" w:type="dxa"/>
              <w:bottom w:w="85" w:type="dxa"/>
              <w:right w:w="85" w:type="dxa"/>
            </w:tcMar>
            <w:vAlign w:val="center"/>
          </w:tcPr>
          <w:p w14:paraId="09CADF9A" w14:textId="77777777" w:rsidR="00ED7F7C" w:rsidRDefault="00CD09D0">
            <w:pPr>
              <w:keepNext/>
              <w:snapToGrid w:val="0"/>
              <w:spacing w:before="60" w:after="60" w:line="276" w:lineRule="auto"/>
              <w:ind w:firstLine="0"/>
            </w:pPr>
            <w:r>
              <w:rPr>
                <w:b/>
                <w:color w:val="16324F"/>
                <w:sz w:val="21"/>
              </w:rPr>
              <w:t>預定準則／結果狀態</w:t>
            </w:r>
          </w:p>
        </w:tc>
      </w:tr>
      <w:tr w:rsidR="00ED7F7C" w14:paraId="654852E1" w14:textId="77777777">
        <w:trPr>
          <w:cantSplit/>
          <w:jc w:val="center"/>
        </w:trPr>
        <w:tc>
          <w:tcPr>
            <w:tcW w:w="1984" w:type="dxa"/>
            <w:tcMar>
              <w:top w:w="85" w:type="dxa"/>
              <w:left w:w="85" w:type="dxa"/>
              <w:bottom w:w="85" w:type="dxa"/>
              <w:right w:w="85" w:type="dxa"/>
            </w:tcMar>
            <w:vAlign w:val="center"/>
          </w:tcPr>
          <w:p w14:paraId="20E28844" w14:textId="77777777" w:rsidR="00ED7F7C" w:rsidRDefault="00CD09D0">
            <w:pPr>
              <w:snapToGrid w:val="0"/>
              <w:spacing w:before="60" w:after="60" w:line="276" w:lineRule="auto"/>
              <w:ind w:firstLine="0"/>
            </w:pPr>
            <w:r>
              <w:rPr>
                <w:sz w:val="21"/>
              </w:rPr>
              <w:t>連續資料擷取</w:t>
            </w:r>
          </w:p>
        </w:tc>
        <w:tc>
          <w:tcPr>
            <w:tcW w:w="3288" w:type="dxa"/>
            <w:tcMar>
              <w:top w:w="85" w:type="dxa"/>
              <w:left w:w="85" w:type="dxa"/>
              <w:bottom w:w="85" w:type="dxa"/>
              <w:right w:w="85" w:type="dxa"/>
            </w:tcMar>
            <w:vAlign w:val="center"/>
          </w:tcPr>
          <w:p w14:paraId="2D926D26" w14:textId="77777777" w:rsidR="00ED7F7C" w:rsidRDefault="00CD09D0">
            <w:pPr>
              <w:snapToGrid w:val="0"/>
              <w:spacing w:before="60" w:after="60" w:line="276" w:lineRule="auto"/>
              <w:ind w:firstLine="0"/>
            </w:pPr>
            <w:r>
              <w:rPr>
                <w:sz w:val="21"/>
              </w:rPr>
              <w:t>連續運轉</w:t>
            </w:r>
            <w:r>
              <w:rPr>
                <w:sz w:val="21"/>
              </w:rPr>
              <w:t>8</w:t>
            </w:r>
            <w:r>
              <w:rPr>
                <w:sz w:val="21"/>
              </w:rPr>
              <w:t>小時，核對</w:t>
            </w:r>
            <w:r>
              <w:rPr>
                <w:sz w:val="21"/>
              </w:rPr>
              <w:t>DAQ</w:t>
            </w:r>
            <w:r>
              <w:rPr>
                <w:sz w:val="21"/>
              </w:rPr>
              <w:t>計數、實收筆數、缺樣及重啟紀錄。</w:t>
            </w:r>
          </w:p>
        </w:tc>
        <w:tc>
          <w:tcPr>
            <w:tcW w:w="3912" w:type="dxa"/>
            <w:tcMar>
              <w:top w:w="85" w:type="dxa"/>
              <w:left w:w="85" w:type="dxa"/>
              <w:bottom w:w="85" w:type="dxa"/>
              <w:right w:w="85" w:type="dxa"/>
            </w:tcMar>
            <w:vAlign w:val="center"/>
          </w:tcPr>
          <w:p w14:paraId="6572197A" w14:textId="77777777" w:rsidR="00ED7F7C" w:rsidRDefault="00CD09D0">
            <w:pPr>
              <w:snapToGrid w:val="0"/>
              <w:spacing w:before="60" w:after="60" w:line="276" w:lineRule="auto"/>
              <w:ind w:firstLine="0"/>
            </w:pPr>
            <w:r>
              <w:rPr>
                <w:sz w:val="21"/>
              </w:rPr>
              <w:t>目標完整率</w:t>
            </w:r>
            <w:r>
              <w:rPr>
                <w:sz w:val="21"/>
              </w:rPr>
              <w:t>≥99.5%</w:t>
            </w:r>
            <w:r>
              <w:rPr>
                <w:sz w:val="21"/>
              </w:rPr>
              <w:t>；所有缺樣可被識別。實測：待測。</w:t>
            </w:r>
          </w:p>
        </w:tc>
      </w:tr>
      <w:tr w:rsidR="00ED7F7C" w14:paraId="44921CB4" w14:textId="77777777">
        <w:trPr>
          <w:cantSplit/>
          <w:jc w:val="center"/>
        </w:trPr>
        <w:tc>
          <w:tcPr>
            <w:tcW w:w="1984" w:type="dxa"/>
            <w:tcMar>
              <w:top w:w="85" w:type="dxa"/>
              <w:left w:w="85" w:type="dxa"/>
              <w:bottom w:w="85" w:type="dxa"/>
              <w:right w:w="85" w:type="dxa"/>
            </w:tcMar>
            <w:vAlign w:val="center"/>
          </w:tcPr>
          <w:p w14:paraId="22A081B8" w14:textId="77777777" w:rsidR="00ED7F7C" w:rsidRDefault="00CD09D0">
            <w:pPr>
              <w:snapToGrid w:val="0"/>
              <w:spacing w:before="60" w:after="60" w:line="276" w:lineRule="auto"/>
              <w:ind w:firstLine="0"/>
            </w:pPr>
            <w:r>
              <w:rPr>
                <w:sz w:val="21"/>
              </w:rPr>
              <w:t>已知工況切換</w:t>
            </w:r>
          </w:p>
        </w:tc>
        <w:tc>
          <w:tcPr>
            <w:tcW w:w="3288" w:type="dxa"/>
            <w:tcMar>
              <w:top w:w="85" w:type="dxa"/>
              <w:left w:w="85" w:type="dxa"/>
              <w:bottom w:w="85" w:type="dxa"/>
              <w:right w:w="85" w:type="dxa"/>
            </w:tcMar>
            <w:vAlign w:val="center"/>
          </w:tcPr>
          <w:p w14:paraId="029D2C9D" w14:textId="77777777" w:rsidR="00ED7F7C" w:rsidRDefault="00CD09D0">
            <w:pPr>
              <w:snapToGrid w:val="0"/>
              <w:spacing w:before="60" w:after="60" w:line="276" w:lineRule="auto"/>
              <w:ind w:firstLine="0"/>
            </w:pPr>
            <w:r>
              <w:rPr>
                <w:sz w:val="21"/>
              </w:rPr>
              <w:t>在允許範圍內重複</w:t>
            </w:r>
            <w:r>
              <w:rPr>
                <w:sz w:val="21"/>
              </w:rPr>
              <w:t>C1</w:t>
            </w:r>
            <w:r>
              <w:rPr>
                <w:sz w:val="21"/>
              </w:rPr>
              <w:t>、</w:t>
            </w:r>
            <w:r>
              <w:rPr>
                <w:sz w:val="21"/>
              </w:rPr>
              <w:t>C2</w:t>
            </w:r>
            <w:r>
              <w:rPr>
                <w:sz w:val="21"/>
              </w:rPr>
              <w:t>、</w:t>
            </w:r>
            <w:r>
              <w:rPr>
                <w:sz w:val="21"/>
              </w:rPr>
              <w:t>C3</w:t>
            </w:r>
            <w:r>
              <w:rPr>
                <w:sz w:val="21"/>
              </w:rPr>
              <w:t>切換，記錄轉態及回穩時間。</w:t>
            </w:r>
          </w:p>
        </w:tc>
        <w:tc>
          <w:tcPr>
            <w:tcW w:w="3912" w:type="dxa"/>
            <w:tcMar>
              <w:top w:w="85" w:type="dxa"/>
              <w:left w:w="85" w:type="dxa"/>
              <w:bottom w:w="85" w:type="dxa"/>
              <w:right w:w="85" w:type="dxa"/>
            </w:tcMar>
            <w:vAlign w:val="center"/>
          </w:tcPr>
          <w:p w14:paraId="62C5426C" w14:textId="77777777" w:rsidR="00ED7F7C" w:rsidRDefault="00CD09D0">
            <w:pPr>
              <w:snapToGrid w:val="0"/>
              <w:spacing w:before="60" w:after="60" w:line="276" w:lineRule="auto"/>
              <w:ind w:firstLine="0"/>
            </w:pPr>
            <w:r>
              <w:rPr>
                <w:sz w:val="21"/>
              </w:rPr>
              <w:t>逐工況列誤報事件；不因切換直接宣布泵浦故障。實測：待測。</w:t>
            </w:r>
          </w:p>
        </w:tc>
      </w:tr>
      <w:tr w:rsidR="00ED7F7C" w14:paraId="5E095CBB" w14:textId="77777777">
        <w:trPr>
          <w:cantSplit/>
          <w:jc w:val="center"/>
        </w:trPr>
        <w:tc>
          <w:tcPr>
            <w:tcW w:w="1984" w:type="dxa"/>
            <w:tcMar>
              <w:top w:w="85" w:type="dxa"/>
              <w:left w:w="85" w:type="dxa"/>
              <w:bottom w:w="85" w:type="dxa"/>
              <w:right w:w="85" w:type="dxa"/>
            </w:tcMar>
            <w:vAlign w:val="center"/>
          </w:tcPr>
          <w:p w14:paraId="3463EC59" w14:textId="77777777" w:rsidR="00ED7F7C" w:rsidRDefault="00CD09D0">
            <w:pPr>
              <w:snapToGrid w:val="0"/>
              <w:spacing w:before="60" w:after="60" w:line="276" w:lineRule="auto"/>
              <w:ind w:firstLine="0"/>
            </w:pPr>
            <w:r>
              <w:rPr>
                <w:sz w:val="21"/>
              </w:rPr>
              <w:lastRenderedPageBreak/>
              <w:t>長時間正常監看</w:t>
            </w:r>
          </w:p>
        </w:tc>
        <w:tc>
          <w:tcPr>
            <w:tcW w:w="3288" w:type="dxa"/>
            <w:tcMar>
              <w:top w:w="85" w:type="dxa"/>
              <w:left w:w="85" w:type="dxa"/>
              <w:bottom w:w="85" w:type="dxa"/>
              <w:right w:w="85" w:type="dxa"/>
            </w:tcMar>
            <w:vAlign w:val="center"/>
          </w:tcPr>
          <w:p w14:paraId="786EECB1" w14:textId="77777777" w:rsidR="00ED7F7C" w:rsidRDefault="00CD09D0">
            <w:pPr>
              <w:snapToGrid w:val="0"/>
              <w:spacing w:before="60" w:after="60" w:line="276" w:lineRule="auto"/>
              <w:ind w:firstLine="0"/>
            </w:pPr>
            <w:r>
              <w:rPr>
                <w:sz w:val="21"/>
              </w:rPr>
              <w:t>另蒐集至少</w:t>
            </w:r>
            <w:r>
              <w:rPr>
                <w:sz w:val="21"/>
              </w:rPr>
              <w:t>24</w:t>
            </w:r>
            <w:r>
              <w:rPr>
                <w:sz w:val="21"/>
              </w:rPr>
              <w:t>小時正常資料，涵蓋三種工況及不同批次。</w:t>
            </w:r>
          </w:p>
        </w:tc>
        <w:tc>
          <w:tcPr>
            <w:tcW w:w="3912" w:type="dxa"/>
            <w:tcMar>
              <w:top w:w="85" w:type="dxa"/>
              <w:left w:w="85" w:type="dxa"/>
              <w:bottom w:w="85" w:type="dxa"/>
              <w:right w:w="85" w:type="dxa"/>
            </w:tcMar>
            <w:vAlign w:val="center"/>
          </w:tcPr>
          <w:p w14:paraId="527B44C0" w14:textId="77777777" w:rsidR="00ED7F7C" w:rsidRDefault="00CD09D0">
            <w:pPr>
              <w:snapToGrid w:val="0"/>
              <w:spacing w:before="60" w:after="60" w:line="276" w:lineRule="auto"/>
              <w:ind w:firstLine="0"/>
            </w:pPr>
            <w:r>
              <w:rPr>
                <w:sz w:val="21"/>
              </w:rPr>
              <w:t>目標平均每</w:t>
            </w:r>
            <w:r>
              <w:rPr>
                <w:sz w:val="21"/>
              </w:rPr>
              <w:t>8</w:t>
            </w:r>
            <w:r>
              <w:rPr>
                <w:sz w:val="21"/>
              </w:rPr>
              <w:t>小時不超過</w:t>
            </w:r>
            <w:r>
              <w:rPr>
                <w:sz w:val="21"/>
              </w:rPr>
              <w:t>1</w:t>
            </w:r>
            <w:r>
              <w:rPr>
                <w:sz w:val="21"/>
              </w:rPr>
              <w:t>件誤報；另列各工況曝光時數與事件數。實測：待測。</w:t>
            </w:r>
          </w:p>
        </w:tc>
      </w:tr>
      <w:tr w:rsidR="00ED7F7C" w14:paraId="3599F125" w14:textId="77777777">
        <w:trPr>
          <w:cantSplit/>
          <w:jc w:val="center"/>
        </w:trPr>
        <w:tc>
          <w:tcPr>
            <w:tcW w:w="1984" w:type="dxa"/>
            <w:tcMar>
              <w:top w:w="85" w:type="dxa"/>
              <w:left w:w="85" w:type="dxa"/>
              <w:bottom w:w="85" w:type="dxa"/>
              <w:right w:w="85" w:type="dxa"/>
            </w:tcMar>
            <w:vAlign w:val="center"/>
          </w:tcPr>
          <w:p w14:paraId="283749C0" w14:textId="77777777" w:rsidR="00ED7F7C" w:rsidRDefault="00CD09D0">
            <w:pPr>
              <w:snapToGrid w:val="0"/>
              <w:spacing w:before="60" w:after="60" w:line="276" w:lineRule="auto"/>
              <w:ind w:firstLine="0"/>
            </w:pPr>
            <w:r>
              <w:rPr>
                <w:sz w:val="21"/>
              </w:rPr>
              <w:t>異常流程回放</w:t>
            </w:r>
          </w:p>
        </w:tc>
        <w:tc>
          <w:tcPr>
            <w:tcW w:w="3288" w:type="dxa"/>
            <w:tcMar>
              <w:top w:w="85" w:type="dxa"/>
              <w:left w:w="85" w:type="dxa"/>
              <w:bottom w:w="85" w:type="dxa"/>
              <w:right w:w="85" w:type="dxa"/>
            </w:tcMar>
            <w:vAlign w:val="center"/>
          </w:tcPr>
          <w:p w14:paraId="6C152017" w14:textId="77777777" w:rsidR="00ED7F7C" w:rsidRDefault="00CD09D0">
            <w:pPr>
              <w:snapToGrid w:val="0"/>
              <w:spacing w:before="60" w:after="60" w:line="276" w:lineRule="auto"/>
              <w:ind w:firstLine="0"/>
            </w:pPr>
            <w:r>
              <w:rPr>
                <w:sz w:val="21"/>
              </w:rPr>
              <w:t>至少</w:t>
            </w:r>
            <w:r>
              <w:rPr>
                <w:sz w:val="21"/>
              </w:rPr>
              <w:t>20</w:t>
            </w:r>
            <w:r>
              <w:rPr>
                <w:sz w:val="21"/>
              </w:rPr>
              <w:t>段獨立回放案例，含明確起訖與正常對照；不回流訓練。</w:t>
            </w:r>
          </w:p>
        </w:tc>
        <w:tc>
          <w:tcPr>
            <w:tcW w:w="3912" w:type="dxa"/>
            <w:tcMar>
              <w:top w:w="85" w:type="dxa"/>
              <w:left w:w="85" w:type="dxa"/>
              <w:bottom w:w="85" w:type="dxa"/>
              <w:right w:w="85" w:type="dxa"/>
            </w:tcMar>
            <w:vAlign w:val="center"/>
          </w:tcPr>
          <w:p w14:paraId="017D0E4B" w14:textId="77777777" w:rsidR="00ED7F7C" w:rsidRDefault="00CD09D0">
            <w:pPr>
              <w:snapToGrid w:val="0"/>
              <w:spacing w:before="60" w:after="60" w:line="276" w:lineRule="auto"/>
              <w:ind w:firstLine="0"/>
            </w:pPr>
            <w:r>
              <w:rPr>
                <w:sz w:val="21"/>
              </w:rPr>
              <w:t>初步目標事件召回率</w:t>
            </w:r>
            <w:r>
              <w:rPr>
                <w:sz w:val="21"/>
              </w:rPr>
              <w:t>≥90%</w:t>
            </w:r>
            <w:r>
              <w:rPr>
                <w:sz w:val="21"/>
              </w:rPr>
              <w:t>；只稱回放案例成效。實測：待測。</w:t>
            </w:r>
          </w:p>
        </w:tc>
      </w:tr>
      <w:tr w:rsidR="00ED7F7C" w14:paraId="5A90F979" w14:textId="77777777">
        <w:trPr>
          <w:cantSplit/>
          <w:jc w:val="center"/>
        </w:trPr>
        <w:tc>
          <w:tcPr>
            <w:tcW w:w="1984" w:type="dxa"/>
            <w:tcMar>
              <w:top w:w="85" w:type="dxa"/>
              <w:left w:w="85" w:type="dxa"/>
              <w:bottom w:w="85" w:type="dxa"/>
              <w:right w:w="85" w:type="dxa"/>
            </w:tcMar>
            <w:vAlign w:val="center"/>
          </w:tcPr>
          <w:p w14:paraId="6DC4DE20" w14:textId="77777777" w:rsidR="00ED7F7C" w:rsidRDefault="00CD09D0">
            <w:pPr>
              <w:snapToGrid w:val="0"/>
              <w:spacing w:before="60" w:after="60" w:line="276" w:lineRule="auto"/>
              <w:ind w:firstLine="0"/>
            </w:pPr>
            <w:r>
              <w:rPr>
                <w:sz w:val="21"/>
              </w:rPr>
              <w:t>跨工況泛化</w:t>
            </w:r>
          </w:p>
        </w:tc>
        <w:tc>
          <w:tcPr>
            <w:tcW w:w="3288" w:type="dxa"/>
            <w:tcMar>
              <w:top w:w="85" w:type="dxa"/>
              <w:left w:w="85" w:type="dxa"/>
              <w:bottom w:w="85" w:type="dxa"/>
              <w:right w:w="85" w:type="dxa"/>
            </w:tcMar>
            <w:vAlign w:val="center"/>
          </w:tcPr>
          <w:p w14:paraId="348A5415" w14:textId="77777777" w:rsidR="00ED7F7C" w:rsidRDefault="00CD09D0">
            <w:pPr>
              <w:snapToGrid w:val="0"/>
              <w:spacing w:before="60" w:after="60" w:line="276" w:lineRule="auto"/>
              <w:ind w:firstLine="0"/>
            </w:pPr>
            <w:r>
              <w:rPr>
                <w:sz w:val="21"/>
              </w:rPr>
              <w:t>留一工況盲測；再另做獨立正常資料校準後的適應測試。</w:t>
            </w:r>
          </w:p>
        </w:tc>
        <w:tc>
          <w:tcPr>
            <w:tcW w:w="3912" w:type="dxa"/>
            <w:tcMar>
              <w:top w:w="85" w:type="dxa"/>
              <w:left w:w="85" w:type="dxa"/>
              <w:bottom w:w="85" w:type="dxa"/>
              <w:right w:w="85" w:type="dxa"/>
            </w:tcMar>
            <w:vAlign w:val="center"/>
          </w:tcPr>
          <w:p w14:paraId="39C8772E" w14:textId="77777777" w:rsidR="00ED7F7C" w:rsidRDefault="00CD09D0">
            <w:pPr>
              <w:snapToGrid w:val="0"/>
              <w:spacing w:before="60" w:after="60" w:line="276" w:lineRule="auto"/>
              <w:ind w:firstLine="0"/>
            </w:pPr>
            <w:r>
              <w:rPr>
                <w:sz w:val="21"/>
              </w:rPr>
              <w:t>分開報告未校準與已校準結果，不預先保證泛化率。實測：待測。</w:t>
            </w:r>
          </w:p>
        </w:tc>
      </w:tr>
      <w:tr w:rsidR="00ED7F7C" w14:paraId="0E96EE85" w14:textId="77777777">
        <w:trPr>
          <w:cantSplit/>
          <w:jc w:val="center"/>
        </w:trPr>
        <w:tc>
          <w:tcPr>
            <w:tcW w:w="1984" w:type="dxa"/>
            <w:tcMar>
              <w:top w:w="85" w:type="dxa"/>
              <w:left w:w="85" w:type="dxa"/>
              <w:bottom w:w="85" w:type="dxa"/>
              <w:right w:w="85" w:type="dxa"/>
            </w:tcMar>
            <w:vAlign w:val="center"/>
          </w:tcPr>
          <w:p w14:paraId="06BF8807" w14:textId="77777777" w:rsidR="00ED7F7C" w:rsidRDefault="00CD09D0">
            <w:pPr>
              <w:snapToGrid w:val="0"/>
              <w:spacing w:before="60" w:after="60" w:line="276" w:lineRule="auto"/>
              <w:ind w:firstLine="0"/>
            </w:pPr>
            <w:r>
              <w:rPr>
                <w:sz w:val="21"/>
              </w:rPr>
              <w:t>延遲與運算負載</w:t>
            </w:r>
          </w:p>
        </w:tc>
        <w:tc>
          <w:tcPr>
            <w:tcW w:w="3288" w:type="dxa"/>
            <w:tcMar>
              <w:top w:w="85" w:type="dxa"/>
              <w:left w:w="85" w:type="dxa"/>
              <w:bottom w:w="85" w:type="dxa"/>
              <w:right w:w="85" w:type="dxa"/>
            </w:tcMar>
            <w:vAlign w:val="center"/>
          </w:tcPr>
          <w:p w14:paraId="7CD22BB0" w14:textId="77777777" w:rsidR="00ED7F7C" w:rsidRDefault="00CD09D0">
            <w:pPr>
              <w:snapToGrid w:val="0"/>
              <w:spacing w:before="60" w:after="60" w:line="276" w:lineRule="auto"/>
              <w:ind w:firstLine="0"/>
            </w:pPr>
            <w:r>
              <w:rPr>
                <w:sz w:val="21"/>
              </w:rPr>
              <w:t>記錄視窗結束、推論完成及伺服器入庫時間；同步記錄</w:t>
            </w:r>
            <w:r>
              <w:rPr>
                <w:sz w:val="21"/>
              </w:rPr>
              <w:t>CPU</w:t>
            </w:r>
            <w:r>
              <w:rPr>
                <w:sz w:val="21"/>
              </w:rPr>
              <w:t>和記憶體。</w:t>
            </w:r>
          </w:p>
        </w:tc>
        <w:tc>
          <w:tcPr>
            <w:tcW w:w="3912" w:type="dxa"/>
            <w:tcMar>
              <w:top w:w="85" w:type="dxa"/>
              <w:left w:w="85" w:type="dxa"/>
              <w:bottom w:w="85" w:type="dxa"/>
              <w:right w:w="85" w:type="dxa"/>
            </w:tcMar>
            <w:vAlign w:val="center"/>
          </w:tcPr>
          <w:p w14:paraId="25E2F327" w14:textId="77777777" w:rsidR="00ED7F7C" w:rsidRDefault="00CD09D0">
            <w:pPr>
              <w:snapToGrid w:val="0"/>
              <w:spacing w:before="60" w:after="60" w:line="276" w:lineRule="auto"/>
              <w:ind w:firstLine="0"/>
            </w:pPr>
            <w:r>
              <w:rPr>
                <w:sz w:val="21"/>
              </w:rPr>
              <w:t>目標特徵＋推論第</w:t>
            </w:r>
            <w:r>
              <w:rPr>
                <w:sz w:val="21"/>
              </w:rPr>
              <w:t>95</w:t>
            </w:r>
            <w:r>
              <w:rPr>
                <w:sz w:val="21"/>
              </w:rPr>
              <w:t>百分位</w:t>
            </w:r>
            <w:r>
              <w:rPr>
                <w:sz w:val="21"/>
              </w:rPr>
              <w:t>&lt;500 ms</w:t>
            </w:r>
            <w:r>
              <w:rPr>
                <w:sz w:val="21"/>
              </w:rPr>
              <w:t>；摘要入庫第</w:t>
            </w:r>
            <w:r>
              <w:rPr>
                <w:sz w:val="21"/>
              </w:rPr>
              <w:t>95</w:t>
            </w:r>
            <w:r>
              <w:rPr>
                <w:sz w:val="21"/>
              </w:rPr>
              <w:t>百分位</w:t>
            </w:r>
            <w:r>
              <w:rPr>
                <w:sz w:val="21"/>
              </w:rPr>
              <w:t>≤2</w:t>
            </w:r>
            <w:r>
              <w:rPr>
                <w:sz w:val="21"/>
              </w:rPr>
              <w:t>秒。實測：待測。</w:t>
            </w:r>
          </w:p>
        </w:tc>
      </w:tr>
      <w:tr w:rsidR="00ED7F7C" w14:paraId="790F9FAB" w14:textId="77777777">
        <w:trPr>
          <w:cantSplit/>
          <w:jc w:val="center"/>
        </w:trPr>
        <w:tc>
          <w:tcPr>
            <w:tcW w:w="1984" w:type="dxa"/>
            <w:tcMar>
              <w:top w:w="85" w:type="dxa"/>
              <w:left w:w="85" w:type="dxa"/>
              <w:bottom w:w="85" w:type="dxa"/>
              <w:right w:w="85" w:type="dxa"/>
            </w:tcMar>
            <w:vAlign w:val="center"/>
          </w:tcPr>
          <w:p w14:paraId="4F492581" w14:textId="77777777" w:rsidR="00ED7F7C" w:rsidRDefault="00CD09D0">
            <w:pPr>
              <w:snapToGrid w:val="0"/>
              <w:spacing w:before="60" w:after="60" w:line="276" w:lineRule="auto"/>
              <w:ind w:firstLine="0"/>
            </w:pPr>
            <w:r>
              <w:rPr>
                <w:sz w:val="21"/>
              </w:rPr>
              <w:t>斷線與補傳</w:t>
            </w:r>
          </w:p>
        </w:tc>
        <w:tc>
          <w:tcPr>
            <w:tcW w:w="3288" w:type="dxa"/>
            <w:tcMar>
              <w:top w:w="85" w:type="dxa"/>
              <w:left w:w="85" w:type="dxa"/>
              <w:bottom w:w="85" w:type="dxa"/>
              <w:right w:w="85" w:type="dxa"/>
            </w:tcMar>
            <w:vAlign w:val="center"/>
          </w:tcPr>
          <w:p w14:paraId="4430A0C0" w14:textId="77777777" w:rsidR="00ED7F7C" w:rsidRDefault="00CD09D0">
            <w:pPr>
              <w:snapToGrid w:val="0"/>
              <w:spacing w:before="60" w:after="60" w:line="276" w:lineRule="auto"/>
              <w:ind w:firstLine="0"/>
            </w:pPr>
            <w:r>
              <w:rPr>
                <w:sz w:val="21"/>
              </w:rPr>
              <w:t>網路中斷</w:t>
            </w:r>
            <w:r>
              <w:rPr>
                <w:sz w:val="21"/>
              </w:rPr>
              <w:t>10</w:t>
            </w:r>
            <w:r>
              <w:rPr>
                <w:sz w:val="21"/>
              </w:rPr>
              <w:t>分鐘再恢復，核對事件</w:t>
            </w:r>
            <w:r>
              <w:rPr>
                <w:sz w:val="21"/>
              </w:rPr>
              <w:t>ID</w:t>
            </w:r>
            <w:r>
              <w:rPr>
                <w:sz w:val="21"/>
              </w:rPr>
              <w:t>、序號、原時間及入庫筆數。</w:t>
            </w:r>
          </w:p>
        </w:tc>
        <w:tc>
          <w:tcPr>
            <w:tcW w:w="3912" w:type="dxa"/>
            <w:tcMar>
              <w:top w:w="85" w:type="dxa"/>
              <w:left w:w="85" w:type="dxa"/>
              <w:bottom w:w="85" w:type="dxa"/>
              <w:right w:w="85" w:type="dxa"/>
            </w:tcMar>
            <w:vAlign w:val="center"/>
          </w:tcPr>
          <w:p w14:paraId="1893CC41" w14:textId="77777777" w:rsidR="00ED7F7C" w:rsidRDefault="00CD09D0">
            <w:pPr>
              <w:snapToGrid w:val="0"/>
              <w:spacing w:before="60" w:after="60" w:line="276" w:lineRule="auto"/>
              <w:ind w:firstLine="0"/>
            </w:pPr>
            <w:r>
              <w:rPr>
                <w:sz w:val="21"/>
              </w:rPr>
              <w:t>本地預警不中斷；重要事件可追溯且不重復通知。實測：待測。</w:t>
            </w:r>
          </w:p>
        </w:tc>
      </w:tr>
      <w:tr w:rsidR="00ED7F7C" w14:paraId="568836C4" w14:textId="77777777">
        <w:trPr>
          <w:cantSplit/>
          <w:jc w:val="center"/>
        </w:trPr>
        <w:tc>
          <w:tcPr>
            <w:tcW w:w="1984" w:type="dxa"/>
            <w:tcMar>
              <w:top w:w="85" w:type="dxa"/>
              <w:left w:w="85" w:type="dxa"/>
              <w:bottom w:w="85" w:type="dxa"/>
              <w:right w:w="85" w:type="dxa"/>
            </w:tcMar>
            <w:vAlign w:val="center"/>
          </w:tcPr>
          <w:p w14:paraId="676D5CF4" w14:textId="77777777" w:rsidR="00ED7F7C" w:rsidRDefault="00CD09D0">
            <w:pPr>
              <w:snapToGrid w:val="0"/>
              <w:spacing w:before="60" w:after="60" w:line="276" w:lineRule="auto"/>
              <w:ind w:firstLine="0"/>
            </w:pPr>
            <w:r>
              <w:rPr>
                <w:sz w:val="21"/>
              </w:rPr>
              <w:t>缺值、失效與重啟</w:t>
            </w:r>
          </w:p>
        </w:tc>
        <w:tc>
          <w:tcPr>
            <w:tcW w:w="3288" w:type="dxa"/>
            <w:tcMar>
              <w:top w:w="85" w:type="dxa"/>
              <w:left w:w="85" w:type="dxa"/>
              <w:bottom w:w="85" w:type="dxa"/>
              <w:right w:w="85" w:type="dxa"/>
            </w:tcMar>
            <w:vAlign w:val="center"/>
          </w:tcPr>
          <w:p w14:paraId="6993E3F7" w14:textId="77777777" w:rsidR="00ED7F7C" w:rsidRDefault="00CD09D0">
            <w:pPr>
              <w:snapToGrid w:val="0"/>
              <w:spacing w:before="60" w:after="60" w:line="276" w:lineRule="auto"/>
              <w:ind w:firstLine="0"/>
            </w:pPr>
            <w:r>
              <w:rPr>
                <w:sz w:val="21"/>
              </w:rPr>
              <w:t>以回放或測試接口模擬缺樣、感測失效、程序重啟與磁碟不足。</w:t>
            </w:r>
          </w:p>
        </w:tc>
        <w:tc>
          <w:tcPr>
            <w:tcW w:w="3912" w:type="dxa"/>
            <w:tcMar>
              <w:top w:w="85" w:type="dxa"/>
              <w:left w:w="85" w:type="dxa"/>
              <w:bottom w:w="85" w:type="dxa"/>
              <w:right w:w="85" w:type="dxa"/>
            </w:tcMar>
            <w:vAlign w:val="center"/>
          </w:tcPr>
          <w:p w14:paraId="699D6713" w14:textId="77777777" w:rsidR="00ED7F7C" w:rsidRDefault="00CD09D0">
            <w:pPr>
              <w:snapToGrid w:val="0"/>
              <w:spacing w:before="60" w:after="60" w:line="276" w:lineRule="auto"/>
              <w:ind w:firstLine="0"/>
            </w:pPr>
            <w:r>
              <w:rPr>
                <w:sz w:val="21"/>
              </w:rPr>
              <w:t>不將失效判為正常；恢復後模型與未結事件一致。實測：待測。</w:t>
            </w:r>
          </w:p>
        </w:tc>
      </w:tr>
    </w:tbl>
    <w:p w14:paraId="42A9E880" w14:textId="77777777" w:rsidR="00ED7F7C" w:rsidRDefault="00ED7F7C">
      <w:pPr>
        <w:snapToGrid w:val="0"/>
        <w:spacing w:after="0"/>
        <w:jc w:val="both"/>
      </w:pPr>
    </w:p>
    <w:p w14:paraId="0B49548A" w14:textId="77777777" w:rsidR="00ED7F7C" w:rsidRDefault="00CD09D0">
      <w:pPr>
        <w:snapToGrid w:val="0"/>
        <w:jc w:val="both"/>
      </w:pPr>
      <w:r>
        <w:t>延遲準則不是故障提前預警時間。</w:t>
      </w:r>
      <w:r>
        <w:t>2</w:t>
      </w:r>
      <w:r>
        <w:t>秒視窗、</w:t>
      </w:r>
      <w:r>
        <w:t>1</w:t>
      </w:r>
      <w:r>
        <w:t>秒步進及</w:t>
      </w:r>
      <w:r>
        <w:t>3</w:t>
      </w:r>
      <w:r>
        <w:t>／</w:t>
      </w:r>
      <w:r>
        <w:t>5</w:t>
      </w:r>
      <w:r>
        <w:t>投票本身就會增加通知等待，紅色升級另有</w:t>
      </w:r>
      <w:r>
        <w:t>60</w:t>
      </w:r>
      <w:r>
        <w:t>秒持續條件；正式報告須將「分析處理延遲」、「投票／持續時間延遲」與「真實故障前的提前量」分開列出。所有目標若未達成，都應保留原因與修正前後的比較。</w:t>
      </w:r>
    </w:p>
    <w:p w14:paraId="173CE40A" w14:textId="77777777" w:rsidR="00ED7F7C" w:rsidRDefault="00CD09D0">
      <w:pPr>
        <w:pStyle w:val="21"/>
        <w:snapToGrid w:val="0"/>
      </w:pPr>
      <w:bookmarkStart w:id="36" w:name="_Toc242566376"/>
      <w:r>
        <w:t>二、成品展示</w:t>
      </w:r>
      <w:bookmarkEnd w:id="36"/>
    </w:p>
    <w:p w14:paraId="16050610" w14:textId="77777777" w:rsidR="00ED7F7C" w:rsidRDefault="00CD09D0">
      <w:pPr>
        <w:keepNext/>
        <w:snapToGrid w:val="0"/>
        <w:jc w:val="both"/>
      </w:pPr>
      <w:r>
        <w:t>預定測試機台外觀包括教學用乾式真空泵、兩個固定震動量測點、表面與環境溫度探頭、受保護的電流量測位置，以及獨立的監測箱。監測箱內配置</w:t>
      </w:r>
      <w:r>
        <w:t>DAQ</w:t>
      </w:r>
      <w:r>
        <w:t>、邊緣裝置、</w:t>
      </w:r>
      <w:r>
        <w:t>SSD</w:t>
      </w:r>
      <w:r>
        <w:t>、隔離介面及電源，訊號線沿固定線槽整理，不妨礙泵浦散熱與原有維修動線。照片應包含全景、量測點近照及箱內配線三個角度，並清楚標明安裝位置，而不是只拍電腦畫面。本次保留照片位置，待實機完成後再置換。</w:t>
      </w:r>
      <w:r>
        <w:t>(</w:t>
      </w:r>
      <w:r>
        <w:t>如圖</w:t>
      </w:r>
      <w:r>
        <w:t>24)</w:t>
      </w:r>
    </w:p>
    <w:p w14:paraId="59C650A7" w14:textId="77777777" w:rsidR="00ED7F7C" w:rsidRDefault="00CD09D0">
      <w:pPr>
        <w:keepNext/>
        <w:pBdr>
          <w:top w:val="single" w:sz="4" w:space="8" w:color="C4CDD6"/>
          <w:left w:val="single" w:sz="4" w:space="8" w:color="C4CDD6"/>
          <w:bottom w:val="single" w:sz="4" w:space="8" w:color="C4CDD6"/>
          <w:right w:val="single" w:sz="4" w:space="8" w:color="C4CDD6"/>
        </w:pBdr>
        <w:shd w:val="clear" w:color="auto" w:fill="F4F6F8"/>
        <w:snapToGrid w:val="0"/>
        <w:spacing w:before="120" w:after="60" w:line="288" w:lineRule="auto"/>
        <w:ind w:left="113" w:right="113" w:firstLine="0"/>
        <w:jc w:val="center"/>
      </w:pPr>
      <w:r>
        <w:rPr>
          <w:color w:val="5B6570"/>
          <w:sz w:val="19"/>
        </w:rPr>
        <w:t>【圖片預留】實機照片待補：建議放全景、量測點近照及監測箱內部三張照片。</w:t>
      </w:r>
    </w:p>
    <w:p w14:paraId="28110364" w14:textId="77777777" w:rsidR="00ED7F7C" w:rsidRDefault="00CD09D0">
      <w:pPr>
        <w:pStyle w:val="af7"/>
        <w:snapToGrid w:val="0"/>
        <w:spacing w:after="200"/>
        <w:jc w:val="center"/>
      </w:pPr>
      <w:r>
        <w:t>圖</w:t>
      </w:r>
      <w:r>
        <w:t>24</w:t>
      </w:r>
      <w:r>
        <w:t>、預定成品外觀與感測器安裝展示（插圖待補）</w:t>
      </w:r>
    </w:p>
    <w:p w14:paraId="2FBBDC4F" w14:textId="77777777" w:rsidR="00ED7F7C" w:rsidRDefault="00CD09D0">
      <w:pPr>
        <w:keepNext/>
        <w:snapToGrid w:val="0"/>
        <w:jc w:val="both"/>
      </w:pPr>
      <w:r>
        <w:lastRenderedPageBreak/>
        <w:t>整合後的儀表板展示應選取同一段可追溯的測試紀錄，同時呈現工況切換、三種模態、異常分數、資料品質及事件清單。正常畫面需顯示確實仍在更新；異常畫面需看得到觸發依據、前後趨勢與事件</w:t>
      </w:r>
      <w:r>
        <w:t>ID</w:t>
      </w:r>
      <w:r>
        <w:t>；斷線畫面則明確標示離線及資料年齡。不能用人工填入的漂亮曲線冒充機台資料，也不能只截取成功案例而省略誤報與失效畫面。</w:t>
      </w:r>
      <w:r>
        <w:t>(</w:t>
      </w:r>
      <w:r>
        <w:t>如圖</w:t>
      </w:r>
      <w:r>
        <w:t>25)</w:t>
      </w:r>
    </w:p>
    <w:p w14:paraId="54FF9964" w14:textId="77777777" w:rsidR="00ED7F7C" w:rsidRDefault="00CD09D0">
      <w:pPr>
        <w:keepNext/>
        <w:snapToGrid w:val="0"/>
        <w:spacing w:before="100" w:after="60" w:line="240" w:lineRule="auto"/>
        <w:ind w:firstLine="0"/>
        <w:jc w:val="center"/>
      </w:pPr>
      <w:r>
        <w:rPr>
          <w:noProof/>
        </w:rPr>
        <w:drawing>
          <wp:inline distT="0" distB="0" distL="0" distR="0" wp14:anchorId="20F3E638" wp14:editId="47D3B21C">
            <wp:extent cx="5688000" cy="3076163"/>
            <wp:effectExtent l="0" t="0" r="0" b="0"/>
            <wp:docPr id="7" name="圖25－整合儀表板與正常／異常／離線狀態展示格式" descr="合成資料與介面示意，非實測結果；事件代碼與時間僅對應本次合成示例，不可作為真實告警紀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5.png"/>
                    <pic:cNvPicPr/>
                  </pic:nvPicPr>
                  <pic:blipFill>
                    <a:blip r:embed="rId16"/>
                    <a:stretch>
                      <a:fillRect/>
                    </a:stretch>
                  </pic:blipFill>
                  <pic:spPr>
                    <a:xfrm>
                      <a:off x="0" y="0"/>
                      <a:ext cx="5688000" cy="3076163"/>
                    </a:xfrm>
                    <a:prstGeom prst="rect">
                      <a:avLst/>
                    </a:prstGeom>
                  </pic:spPr>
                </pic:pic>
              </a:graphicData>
            </a:graphic>
          </wp:inline>
        </w:drawing>
      </w:r>
    </w:p>
    <w:p w14:paraId="6CAC713C" w14:textId="77777777" w:rsidR="00ED7F7C" w:rsidRDefault="00CD09D0">
      <w:pPr>
        <w:pStyle w:val="af7"/>
        <w:snapToGrid w:val="0"/>
        <w:spacing w:after="200"/>
        <w:jc w:val="center"/>
      </w:pPr>
      <w:r>
        <w:rPr>
          <w:sz w:val="19"/>
        </w:rPr>
        <w:t>圖</w:t>
      </w:r>
      <w:r>
        <w:rPr>
          <w:sz w:val="19"/>
        </w:rPr>
        <w:t>25</w:t>
      </w:r>
      <w:r>
        <w:rPr>
          <w:sz w:val="19"/>
        </w:rPr>
        <w:t>、整合儀表板與正常／異常／離線狀態展示格式</w:t>
      </w:r>
      <w:r>
        <w:rPr>
          <w:sz w:val="19"/>
        </w:rPr>
        <w:br/>
      </w:r>
      <w:r>
        <w:rPr>
          <w:sz w:val="19"/>
        </w:rPr>
        <w:t>（合成資料與介面示意，非實測結果；完成實驗後請替換）</w:t>
      </w:r>
    </w:p>
    <w:p w14:paraId="2E80F7D2" w14:textId="77777777" w:rsidR="00ED7F7C" w:rsidRDefault="00CD09D0">
      <w:pPr>
        <w:snapToGrid w:val="0"/>
        <w:jc w:val="both"/>
      </w:pPr>
      <w:r>
        <w:t>目前可交付的設計內容包含八類硬體規格、四類軟體分工、多速率資料流程、工況感知模型、告警狀態機、畫面規格及測試表。尚待完成的實證內容包括</w:t>
      </w:r>
      <w:r>
        <w:t>DAQ</w:t>
      </w:r>
      <w:r>
        <w:t>型號與驅動驗證、機台安裝與校正、正常資料蒐集、模型訓練、長時間盲測及現場維護回饋。若只能取得模擬或離線回放資料，成果名稱應明確寫成「原型流程驗證」，不能寫成「半導體廠實績」。</w:t>
      </w:r>
    </w:p>
    <w:p w14:paraId="24AFF1DB" w14:textId="77777777" w:rsidR="00ED7F7C" w:rsidRDefault="00CD09D0">
      <w:pPr>
        <w:pStyle w:val="1"/>
        <w:pageBreakBefore/>
        <w:snapToGrid w:val="0"/>
      </w:pPr>
      <w:bookmarkStart w:id="37" w:name="_Toc242566377"/>
      <w:r>
        <w:lastRenderedPageBreak/>
        <w:t>陸、討論</w:t>
      </w:r>
      <w:bookmarkEnd w:id="37"/>
    </w:p>
    <w:p w14:paraId="0CDE2BBD" w14:textId="77777777" w:rsidR="00ED7F7C" w:rsidRDefault="00CD09D0">
      <w:pPr>
        <w:pStyle w:val="21"/>
        <w:snapToGrid w:val="0"/>
      </w:pPr>
      <w:bookmarkStart w:id="38" w:name="_Toc242566378"/>
      <w:r>
        <w:t>一、感測器選用與雜訊問題</w:t>
      </w:r>
      <w:bookmarkEnd w:id="38"/>
    </w:p>
    <w:p w14:paraId="4240A895" w14:textId="77777777" w:rsidR="00ED7F7C" w:rsidRDefault="00CD09D0">
      <w:pPr>
        <w:snapToGrid w:val="0"/>
        <w:jc w:val="both"/>
      </w:pPr>
      <w:r>
        <w:t>感測器不是頻寬越高、售價越高就一定更適合，還要考慮安裝剛性、量程、耐溫、輸出型式與</w:t>
      </w:r>
      <w:r>
        <w:t>DAQ</w:t>
      </w:r>
      <w:r>
        <w:t>相容性。振動量測若固定座鬆動、線材晃動或貼在薄板外殼，可能放大量測假象；更換位置之後也不能直接沿用舊基準。故我們會先用相同固定方式重複裝卸與量測，檢查重複性，再決定特徵是否具有可比較性。</w:t>
      </w:r>
      <w:r>
        <w:t>IEPE</w:t>
      </w:r>
      <w:r>
        <w:t>與類比</w:t>
      </w:r>
      <w:r>
        <w:t>MEMS</w:t>
      </w:r>
      <w:r>
        <w:t>具有不同供電及調理需求，替代時必須重新審查完整訊號鏈。</w:t>
      </w:r>
      <w:r>
        <w:t>[9][11]</w:t>
      </w:r>
    </w:p>
    <w:p w14:paraId="45903B70" w14:textId="77777777" w:rsidR="00ED7F7C" w:rsidRDefault="00CD09D0">
      <w:pPr>
        <w:snapToGrid w:val="0"/>
        <w:jc w:val="both"/>
      </w:pPr>
      <w:r>
        <w:t>電源及變頻器可能帶來干擾，因此動力與訊號線分開走線，屏蔽接地依感測器與</w:t>
      </w:r>
      <w:r>
        <w:t>DAQ</w:t>
      </w:r>
      <w:r>
        <w:t>原廠指引處理，避免自行推定所有設備都應採同一接法。抗混疊必須在取樣前或</w:t>
      </w:r>
      <w:r>
        <w:t>DAQ</w:t>
      </w:r>
      <w:r>
        <w:t>內部有效完成，數位濾波只用來保留已正確取樣的分析頻帶。遇到異常尖峰時，先比對其他模態、接線與操作紀錄，不立即把每個尖峰當成機械故障。</w:t>
      </w:r>
    </w:p>
    <w:p w14:paraId="49451353" w14:textId="77777777" w:rsidR="00ED7F7C" w:rsidRDefault="00CD09D0">
      <w:pPr>
        <w:snapToGrid w:val="0"/>
        <w:jc w:val="both"/>
      </w:pPr>
      <w:r>
        <w:t>溫度方面，要確認接觸面與熱時間常數；電流方面，確認供電側與輸出側的物理意義不同。若感測器飽和、長時間卡在固定值或與參考量測差異過大，系統應先提示監測通道異常。規劃每次重新安裝或更換感測器後都做基準檢查，並保留校正日期、環境條件與偏差，讓模型問題和量測問題可以分開追查。</w:t>
      </w:r>
    </w:p>
    <w:p w14:paraId="7A03369C" w14:textId="77777777" w:rsidR="00ED7F7C" w:rsidRDefault="00CD09D0">
      <w:pPr>
        <w:pStyle w:val="21"/>
        <w:snapToGrid w:val="0"/>
      </w:pPr>
      <w:bookmarkStart w:id="39" w:name="_Toc242566379"/>
      <w:r>
        <w:t>二、數據傳輸不穩定</w:t>
      </w:r>
      <w:bookmarkEnd w:id="39"/>
    </w:p>
    <w:p w14:paraId="6852E83E" w14:textId="77777777" w:rsidR="00ED7F7C" w:rsidRDefault="00CD09D0">
      <w:pPr>
        <w:snapToGrid w:val="0"/>
        <w:jc w:val="both"/>
      </w:pPr>
      <w:r>
        <w:t>Wi-Fi</w:t>
      </w:r>
      <w:r>
        <w:t>可能受到機櫃遮蔽與網路壅塞影響，因此本設計將擷取與判斷留在邊緣端，傳輸失敗不停止本地預警。特徵及事件先寫入本地待傳清單，再進行有上限的重試與退避；恢復連線後依原時間補傳，同時保留當前資料的傳輸配額。</w:t>
      </w:r>
      <w:r>
        <w:t>MQTT</w:t>
      </w:r>
      <w:r>
        <w:t>的</w:t>
      </w:r>
      <w:r>
        <w:t>QoS 1</w:t>
      </w:r>
      <w:r>
        <w:t>並不保證業務事件只處理一次，因此設備重啟後仍須利用</w:t>
      </w:r>
      <w:r>
        <w:t>boot_id</w:t>
      </w:r>
      <w:r>
        <w:t>、</w:t>
      </w:r>
      <w:r>
        <w:t>seq</w:t>
      </w:r>
      <w:r>
        <w:t>及</w:t>
      </w:r>
      <w:r>
        <w:t>event_id</w:t>
      </w:r>
      <w:r>
        <w:t>識別資料。</w:t>
      </w:r>
      <w:r>
        <w:t>[5]</w:t>
      </w:r>
    </w:p>
    <w:p w14:paraId="4FA4902D" w14:textId="77777777" w:rsidR="00ED7F7C" w:rsidRDefault="00CD09D0">
      <w:pPr>
        <w:snapToGrid w:val="0"/>
        <w:jc w:val="both"/>
      </w:pPr>
      <w:r>
        <w:t>為避免磁碟被斷線資料塞滿，預定保留至少</w:t>
      </w:r>
      <w:r>
        <w:t>24</w:t>
      </w:r>
      <w:r>
        <w:t>小時的特徵摘要緩存，事件波形依容量上限管理；容量接近上限時先發出監測系統警示，再依明確策略清理較舊、已確認保存的正常資料。未傳出的重要事件不可悄悄刪除。補傳速率、重試次數與可保留時間都需在整合測試中量測，不能把「有緩存」等同永遠不會遺失。</w:t>
      </w:r>
    </w:p>
    <w:p w14:paraId="773BFFA3" w14:textId="77777777" w:rsidR="00ED7F7C" w:rsidRDefault="00CD09D0">
      <w:pPr>
        <w:snapToGrid w:val="0"/>
        <w:jc w:val="both"/>
      </w:pPr>
      <w:r>
        <w:t>時間同步也會影響跨模態判斷。系統以硬體計數維持取樣順序，另存</w:t>
      </w:r>
      <w:r>
        <w:t>UTC</w:t>
      </w:r>
      <w:r>
        <w:t>時間供跨設備查詢；畫面可以轉成當地時間，但資料庫保留原始時間。若系統時鐘大幅跳動，就加上時間品質旗標，不用到達時間重新排序後假裝沒有發生問題。跨設備的精密相位分析不在本次範圍，不能以一般</w:t>
      </w:r>
      <w:r>
        <w:t>NTP</w:t>
      </w:r>
      <w:r>
        <w:t>同步宣稱完成多台</w:t>
      </w:r>
      <w:r>
        <w:t>DAQ</w:t>
      </w:r>
      <w:r>
        <w:t>相位對齊。</w:t>
      </w:r>
    </w:p>
    <w:p w14:paraId="53CB02A1" w14:textId="77777777" w:rsidR="00ED7F7C" w:rsidRDefault="00CD09D0">
      <w:pPr>
        <w:pStyle w:val="21"/>
        <w:snapToGrid w:val="0"/>
      </w:pPr>
      <w:bookmarkStart w:id="40" w:name="_Toc242566380"/>
      <w:r>
        <w:lastRenderedPageBreak/>
        <w:t>三、硬體架構與運算成本考量</w:t>
      </w:r>
      <w:bookmarkEnd w:id="40"/>
    </w:p>
    <w:p w14:paraId="2E30C26A" w14:textId="77777777" w:rsidR="00ED7F7C" w:rsidRDefault="00CD09D0">
      <w:pPr>
        <w:snapToGrid w:val="0"/>
        <w:jc w:val="both"/>
      </w:pPr>
      <w:r>
        <w:t>我們選擇先以特徵式</w:t>
      </w:r>
      <w:r>
        <w:t>Isolation Forest</w:t>
      </w:r>
      <w:r>
        <w:t>建立可運作的原型，再評估</w:t>
      </w:r>
      <w:r>
        <w:t>Autoencoder</w:t>
      </w:r>
      <w:r>
        <w:t>是否值得增加維護與運算成本。兩者須使用相同資料切分與事件評估方式比較，除了召回和誤報，也記錄推論時間、</w:t>
      </w:r>
      <w:r>
        <w:t>CPU</w:t>
      </w:r>
      <w:r>
        <w:t>使用率、記憶體及斷線期間的寫檔負荷。若較複雜的模型沒有明顯改善，維持簡單模型更容易校準、解釋及部署，不因為名稱含有深度學習就優先採用。</w:t>
      </w:r>
    </w:p>
    <w:p w14:paraId="1F9F33E0" w14:textId="77777777" w:rsidR="00ED7F7C" w:rsidRDefault="00CD09D0">
      <w:pPr>
        <w:snapToGrid w:val="0"/>
        <w:jc w:val="both"/>
      </w:pPr>
      <w:r>
        <w:t>以三個高頻通道、</w:t>
      </w:r>
      <w:r>
        <w:t>25.6 kS/s</w:t>
      </w:r>
      <w:r>
        <w:t>、每樣本用</w:t>
      </w:r>
      <w:r>
        <w:t>32</w:t>
      </w:r>
      <w:r>
        <w:t>位元儲存估算，未壓縮資料率為</w:t>
      </w:r>
      <w:r>
        <w:t>307,200 bytes/s</w:t>
      </w:r>
      <w:r>
        <w:t>，每天約</w:t>
      </w:r>
      <w:r>
        <w:t>26.54 GB</w:t>
      </w:r>
      <w:r>
        <w:t>，不含檔頭、索引與備份。單次前後各</w:t>
      </w:r>
      <w:r>
        <w:t>60</w:t>
      </w:r>
      <w:r>
        <w:t>秒事件波形約</w:t>
      </w:r>
      <w:r>
        <w:t>35.16 MiB</w:t>
      </w:r>
      <w:r>
        <w:t>；若事件重疊可合併片段，但不能改掉各事件時間。由此可知，長期完整保留所有高頻資料會增加成本，因此平時保存特徵與循環原始緩衝，事件發生再封存波形；實際</w:t>
      </w:r>
      <w:r>
        <w:t>SSD</w:t>
      </w:r>
      <w:r>
        <w:t>容量需以預定保存天數與量測到的事件密度決定。</w:t>
      </w:r>
    </w:p>
    <w:p w14:paraId="3995EA46" w14:textId="5DEB8C5C" w:rsidR="00ED7F7C" w:rsidRDefault="00CD09D0">
      <w:pPr>
        <w:pStyle w:val="af7"/>
        <w:keepNext/>
        <w:pageBreakBefore/>
        <w:snapToGrid w:val="0"/>
      </w:pPr>
      <w:r>
        <w:rPr>
          <w:b/>
        </w:rPr>
        <w:lastRenderedPageBreak/>
        <w:t>表</w:t>
      </w:r>
      <w:r>
        <w:rPr>
          <w:b/>
        </w:rPr>
        <w:t>4</w:t>
      </w:r>
      <w:r>
        <w:rPr>
          <w:b/>
        </w:rPr>
        <w:t>、原型硬體經費估算</w:t>
      </w:r>
    </w:p>
    <w:tbl>
      <w:tblPr>
        <w:tblStyle w:val="aff2"/>
        <w:tblW w:w="0" w:type="auto"/>
        <w:jc w:val="center"/>
        <w:tblLayout w:type="fixed"/>
        <w:tblLook w:val="04A0" w:firstRow="1" w:lastRow="0" w:firstColumn="1" w:lastColumn="0" w:noHBand="0" w:noVBand="1"/>
      </w:tblPr>
      <w:tblGrid>
        <w:gridCol w:w="3402"/>
        <w:gridCol w:w="1701"/>
        <w:gridCol w:w="4082"/>
      </w:tblGrid>
      <w:tr w:rsidR="00ED7F7C" w14:paraId="43FA017D" w14:textId="77777777">
        <w:trPr>
          <w:cantSplit/>
          <w:tblHeader/>
          <w:jc w:val="center"/>
        </w:trPr>
        <w:tc>
          <w:tcPr>
            <w:tcW w:w="3402" w:type="dxa"/>
            <w:shd w:val="clear" w:color="auto" w:fill="E9EFF5"/>
            <w:tcMar>
              <w:top w:w="85" w:type="dxa"/>
              <w:left w:w="85" w:type="dxa"/>
              <w:bottom w:w="85" w:type="dxa"/>
              <w:right w:w="85" w:type="dxa"/>
            </w:tcMar>
            <w:vAlign w:val="center"/>
          </w:tcPr>
          <w:p w14:paraId="4749475C" w14:textId="77777777" w:rsidR="00ED7F7C" w:rsidRDefault="00CD09D0">
            <w:pPr>
              <w:keepNext/>
              <w:snapToGrid w:val="0"/>
              <w:spacing w:before="60" w:after="60" w:line="276" w:lineRule="auto"/>
              <w:ind w:firstLine="0"/>
            </w:pPr>
            <w:r>
              <w:rPr>
                <w:b/>
                <w:color w:val="16324F"/>
                <w:sz w:val="21"/>
              </w:rPr>
              <w:t>類別</w:t>
            </w:r>
          </w:p>
        </w:tc>
        <w:tc>
          <w:tcPr>
            <w:tcW w:w="1701" w:type="dxa"/>
            <w:shd w:val="clear" w:color="auto" w:fill="E9EFF5"/>
            <w:tcMar>
              <w:top w:w="85" w:type="dxa"/>
              <w:left w:w="85" w:type="dxa"/>
              <w:bottom w:w="85" w:type="dxa"/>
              <w:right w:w="85" w:type="dxa"/>
            </w:tcMar>
            <w:vAlign w:val="center"/>
          </w:tcPr>
          <w:p w14:paraId="61437CA5" w14:textId="77777777" w:rsidR="00ED7F7C" w:rsidRDefault="00CD09D0">
            <w:pPr>
              <w:keepNext/>
              <w:snapToGrid w:val="0"/>
              <w:spacing w:before="60" w:after="60" w:line="276" w:lineRule="auto"/>
              <w:ind w:firstLine="0"/>
            </w:pPr>
            <w:r>
              <w:rPr>
                <w:b/>
                <w:color w:val="16324F"/>
                <w:sz w:val="21"/>
              </w:rPr>
              <w:t>估算範圍（元）</w:t>
            </w:r>
          </w:p>
        </w:tc>
        <w:tc>
          <w:tcPr>
            <w:tcW w:w="4082" w:type="dxa"/>
            <w:shd w:val="clear" w:color="auto" w:fill="E9EFF5"/>
            <w:tcMar>
              <w:top w:w="85" w:type="dxa"/>
              <w:left w:w="85" w:type="dxa"/>
              <w:bottom w:w="85" w:type="dxa"/>
              <w:right w:w="85" w:type="dxa"/>
            </w:tcMar>
            <w:vAlign w:val="center"/>
          </w:tcPr>
          <w:p w14:paraId="7511B92E" w14:textId="77777777" w:rsidR="00ED7F7C" w:rsidRDefault="00CD09D0">
            <w:pPr>
              <w:keepNext/>
              <w:snapToGrid w:val="0"/>
              <w:spacing w:before="60" w:after="60" w:line="276" w:lineRule="auto"/>
              <w:ind w:firstLine="0"/>
            </w:pPr>
            <w:r>
              <w:rPr>
                <w:b/>
                <w:color w:val="16324F"/>
                <w:sz w:val="21"/>
              </w:rPr>
              <w:t>估算說明</w:t>
            </w:r>
          </w:p>
        </w:tc>
      </w:tr>
      <w:tr w:rsidR="00ED7F7C" w14:paraId="74AAAAA5" w14:textId="77777777">
        <w:trPr>
          <w:cantSplit/>
          <w:jc w:val="center"/>
        </w:trPr>
        <w:tc>
          <w:tcPr>
            <w:tcW w:w="3402" w:type="dxa"/>
            <w:tcMar>
              <w:top w:w="85" w:type="dxa"/>
              <w:left w:w="85" w:type="dxa"/>
              <w:bottom w:w="85" w:type="dxa"/>
              <w:right w:w="85" w:type="dxa"/>
            </w:tcMar>
            <w:vAlign w:val="center"/>
          </w:tcPr>
          <w:p w14:paraId="6917E1EA" w14:textId="77777777" w:rsidR="00ED7F7C" w:rsidRDefault="00CD09D0">
            <w:pPr>
              <w:snapToGrid w:val="0"/>
              <w:spacing w:before="60" w:after="60" w:line="276" w:lineRule="auto"/>
              <w:ind w:firstLine="0"/>
            </w:pPr>
            <w:r>
              <w:rPr>
                <w:sz w:val="21"/>
              </w:rPr>
              <w:t>邊緣裝置與散熱</w:t>
            </w:r>
          </w:p>
        </w:tc>
        <w:tc>
          <w:tcPr>
            <w:tcW w:w="1701" w:type="dxa"/>
            <w:tcMar>
              <w:top w:w="85" w:type="dxa"/>
              <w:left w:w="85" w:type="dxa"/>
              <w:bottom w:w="85" w:type="dxa"/>
              <w:right w:w="85" w:type="dxa"/>
            </w:tcMar>
            <w:vAlign w:val="center"/>
          </w:tcPr>
          <w:p w14:paraId="5442AF1D" w14:textId="77777777" w:rsidR="00ED7F7C" w:rsidRDefault="00CD09D0">
            <w:pPr>
              <w:snapToGrid w:val="0"/>
              <w:spacing w:before="60" w:after="60" w:line="276" w:lineRule="auto"/>
              <w:ind w:firstLine="0"/>
            </w:pPr>
            <w:r>
              <w:rPr>
                <w:sz w:val="21"/>
              </w:rPr>
              <w:t>6,500–9,500</w:t>
            </w:r>
          </w:p>
        </w:tc>
        <w:tc>
          <w:tcPr>
            <w:tcW w:w="4082" w:type="dxa"/>
            <w:tcMar>
              <w:top w:w="85" w:type="dxa"/>
              <w:left w:w="85" w:type="dxa"/>
              <w:bottom w:w="85" w:type="dxa"/>
              <w:right w:w="85" w:type="dxa"/>
            </w:tcMar>
            <w:vAlign w:val="center"/>
          </w:tcPr>
          <w:p w14:paraId="1D44D4F6" w14:textId="77777777" w:rsidR="00ED7F7C" w:rsidRDefault="00CD09D0">
            <w:pPr>
              <w:snapToGrid w:val="0"/>
              <w:spacing w:before="60" w:after="60" w:line="276" w:lineRule="auto"/>
              <w:ind w:firstLine="0"/>
            </w:pPr>
            <w:r>
              <w:rPr>
                <w:sz w:val="21"/>
              </w:rPr>
              <w:t>Raspberry Pi</w:t>
            </w:r>
            <w:r>
              <w:rPr>
                <w:sz w:val="21"/>
              </w:rPr>
              <w:t>、適用電源及散熱；</w:t>
            </w:r>
            <w:r>
              <w:rPr>
                <w:sz w:val="21"/>
              </w:rPr>
              <w:t>SSD</w:t>
            </w:r>
            <w:r>
              <w:rPr>
                <w:sz w:val="21"/>
              </w:rPr>
              <w:t>另列。</w:t>
            </w:r>
          </w:p>
        </w:tc>
      </w:tr>
      <w:tr w:rsidR="00ED7F7C" w14:paraId="3F95F54F" w14:textId="77777777">
        <w:trPr>
          <w:cantSplit/>
          <w:jc w:val="center"/>
        </w:trPr>
        <w:tc>
          <w:tcPr>
            <w:tcW w:w="3402" w:type="dxa"/>
            <w:tcMar>
              <w:top w:w="85" w:type="dxa"/>
              <w:left w:w="85" w:type="dxa"/>
              <w:bottom w:w="85" w:type="dxa"/>
              <w:right w:w="85" w:type="dxa"/>
            </w:tcMar>
            <w:vAlign w:val="center"/>
          </w:tcPr>
          <w:p w14:paraId="52616E82" w14:textId="77777777" w:rsidR="00ED7F7C" w:rsidRDefault="00CD09D0">
            <w:pPr>
              <w:snapToGrid w:val="0"/>
              <w:spacing w:before="60" w:after="60" w:line="276" w:lineRule="auto"/>
              <w:ind w:firstLine="0"/>
            </w:pPr>
            <w:r>
              <w:rPr>
                <w:sz w:val="21"/>
              </w:rPr>
              <w:t>DAQ</w:t>
            </w:r>
            <w:r>
              <w:rPr>
                <w:sz w:val="21"/>
              </w:rPr>
              <w:t>與必要調理</w:t>
            </w:r>
          </w:p>
        </w:tc>
        <w:tc>
          <w:tcPr>
            <w:tcW w:w="1701" w:type="dxa"/>
            <w:tcMar>
              <w:top w:w="85" w:type="dxa"/>
              <w:left w:w="85" w:type="dxa"/>
              <w:bottom w:w="85" w:type="dxa"/>
              <w:right w:w="85" w:type="dxa"/>
            </w:tcMar>
            <w:vAlign w:val="center"/>
          </w:tcPr>
          <w:p w14:paraId="7ED940B9" w14:textId="77777777" w:rsidR="00ED7F7C" w:rsidRDefault="00CD09D0">
            <w:pPr>
              <w:snapToGrid w:val="0"/>
              <w:spacing w:before="60" w:after="60" w:line="276" w:lineRule="auto"/>
              <w:ind w:firstLine="0"/>
            </w:pPr>
            <w:r>
              <w:rPr>
                <w:sz w:val="21"/>
              </w:rPr>
              <w:t>45,000–90,000</w:t>
            </w:r>
          </w:p>
        </w:tc>
        <w:tc>
          <w:tcPr>
            <w:tcW w:w="4082" w:type="dxa"/>
            <w:tcMar>
              <w:top w:w="85" w:type="dxa"/>
              <w:left w:w="85" w:type="dxa"/>
              <w:bottom w:w="85" w:type="dxa"/>
              <w:right w:w="85" w:type="dxa"/>
            </w:tcMar>
            <w:vAlign w:val="center"/>
          </w:tcPr>
          <w:p w14:paraId="6F94EEB1" w14:textId="77777777" w:rsidR="00ED7F7C" w:rsidRDefault="00CD09D0">
            <w:pPr>
              <w:snapToGrid w:val="0"/>
              <w:spacing w:before="60" w:after="60" w:line="276" w:lineRule="auto"/>
              <w:ind w:firstLine="0"/>
            </w:pPr>
            <w:r>
              <w:rPr>
                <w:sz w:val="21"/>
              </w:rPr>
              <w:t>需確認同步、</w:t>
            </w:r>
            <w:r>
              <w:rPr>
                <w:sz w:val="21"/>
              </w:rPr>
              <w:t>IEPE</w:t>
            </w:r>
            <w:r>
              <w:rPr>
                <w:sz w:val="21"/>
              </w:rPr>
              <w:t>、網路串流與</w:t>
            </w:r>
            <w:r>
              <w:rPr>
                <w:sz w:val="21"/>
              </w:rPr>
              <w:t>ARM64</w:t>
            </w:r>
            <w:r>
              <w:rPr>
                <w:sz w:val="21"/>
              </w:rPr>
              <w:t>支援；商用型號可能超出此範圍。</w:t>
            </w:r>
          </w:p>
        </w:tc>
      </w:tr>
      <w:tr w:rsidR="00ED7F7C" w14:paraId="5200A789" w14:textId="77777777">
        <w:trPr>
          <w:cantSplit/>
          <w:jc w:val="center"/>
        </w:trPr>
        <w:tc>
          <w:tcPr>
            <w:tcW w:w="3402" w:type="dxa"/>
            <w:tcMar>
              <w:top w:w="85" w:type="dxa"/>
              <w:left w:w="85" w:type="dxa"/>
              <w:bottom w:w="85" w:type="dxa"/>
              <w:right w:w="85" w:type="dxa"/>
            </w:tcMar>
            <w:vAlign w:val="center"/>
          </w:tcPr>
          <w:p w14:paraId="76F0BF06" w14:textId="77777777" w:rsidR="00ED7F7C" w:rsidRDefault="00CD09D0">
            <w:pPr>
              <w:snapToGrid w:val="0"/>
              <w:spacing w:before="60" w:after="60" w:line="276" w:lineRule="auto"/>
              <w:ind w:firstLine="0"/>
            </w:pPr>
            <w:r>
              <w:rPr>
                <w:sz w:val="21"/>
              </w:rPr>
              <w:t>兩支震動感測器及固定座</w:t>
            </w:r>
          </w:p>
        </w:tc>
        <w:tc>
          <w:tcPr>
            <w:tcW w:w="1701" w:type="dxa"/>
            <w:tcMar>
              <w:top w:w="85" w:type="dxa"/>
              <w:left w:w="85" w:type="dxa"/>
              <w:bottom w:w="85" w:type="dxa"/>
              <w:right w:w="85" w:type="dxa"/>
            </w:tcMar>
            <w:vAlign w:val="center"/>
          </w:tcPr>
          <w:p w14:paraId="0CDD3588" w14:textId="77777777" w:rsidR="00ED7F7C" w:rsidRDefault="00CD09D0">
            <w:pPr>
              <w:snapToGrid w:val="0"/>
              <w:spacing w:before="60" w:after="60" w:line="276" w:lineRule="auto"/>
              <w:ind w:firstLine="0"/>
            </w:pPr>
            <w:r>
              <w:rPr>
                <w:sz w:val="21"/>
              </w:rPr>
              <w:t>12,000–30,000</w:t>
            </w:r>
          </w:p>
        </w:tc>
        <w:tc>
          <w:tcPr>
            <w:tcW w:w="4082" w:type="dxa"/>
            <w:tcMar>
              <w:top w:w="85" w:type="dxa"/>
              <w:left w:w="85" w:type="dxa"/>
              <w:bottom w:w="85" w:type="dxa"/>
              <w:right w:w="85" w:type="dxa"/>
            </w:tcMar>
            <w:vAlign w:val="center"/>
          </w:tcPr>
          <w:p w14:paraId="1D5B48B2" w14:textId="77777777" w:rsidR="00ED7F7C" w:rsidRDefault="00CD09D0">
            <w:pPr>
              <w:snapToGrid w:val="0"/>
              <w:spacing w:before="60" w:after="60" w:line="276" w:lineRule="auto"/>
              <w:ind w:firstLine="0"/>
            </w:pPr>
            <w:r>
              <w:rPr>
                <w:sz w:val="21"/>
              </w:rPr>
              <w:t>依頻寬、校正及品牌差異調整。</w:t>
            </w:r>
          </w:p>
        </w:tc>
      </w:tr>
      <w:tr w:rsidR="00ED7F7C" w14:paraId="194A6FB3" w14:textId="77777777">
        <w:trPr>
          <w:cantSplit/>
          <w:jc w:val="center"/>
        </w:trPr>
        <w:tc>
          <w:tcPr>
            <w:tcW w:w="3402" w:type="dxa"/>
            <w:tcMar>
              <w:top w:w="85" w:type="dxa"/>
              <w:left w:w="85" w:type="dxa"/>
              <w:bottom w:w="85" w:type="dxa"/>
              <w:right w:w="85" w:type="dxa"/>
            </w:tcMar>
            <w:vAlign w:val="center"/>
          </w:tcPr>
          <w:p w14:paraId="7E28088F" w14:textId="77777777" w:rsidR="00ED7F7C" w:rsidRDefault="00CD09D0">
            <w:pPr>
              <w:snapToGrid w:val="0"/>
              <w:spacing w:before="60" w:after="60" w:line="276" w:lineRule="auto"/>
              <w:ind w:firstLine="0"/>
            </w:pPr>
            <w:r>
              <w:rPr>
                <w:sz w:val="21"/>
              </w:rPr>
              <w:t>隔離電流感測與調理</w:t>
            </w:r>
          </w:p>
        </w:tc>
        <w:tc>
          <w:tcPr>
            <w:tcW w:w="1701" w:type="dxa"/>
            <w:tcMar>
              <w:top w:w="85" w:type="dxa"/>
              <w:left w:w="85" w:type="dxa"/>
              <w:bottom w:w="85" w:type="dxa"/>
              <w:right w:w="85" w:type="dxa"/>
            </w:tcMar>
            <w:vAlign w:val="center"/>
          </w:tcPr>
          <w:p w14:paraId="60DD5553" w14:textId="77777777" w:rsidR="00ED7F7C" w:rsidRDefault="00CD09D0">
            <w:pPr>
              <w:snapToGrid w:val="0"/>
              <w:spacing w:before="60" w:after="60" w:line="276" w:lineRule="auto"/>
              <w:ind w:firstLine="0"/>
            </w:pPr>
            <w:r>
              <w:rPr>
                <w:sz w:val="21"/>
              </w:rPr>
              <w:t>2,000–5,000</w:t>
            </w:r>
          </w:p>
        </w:tc>
        <w:tc>
          <w:tcPr>
            <w:tcW w:w="4082" w:type="dxa"/>
            <w:tcMar>
              <w:top w:w="85" w:type="dxa"/>
              <w:left w:w="85" w:type="dxa"/>
              <w:bottom w:w="85" w:type="dxa"/>
              <w:right w:w="85" w:type="dxa"/>
            </w:tcMar>
            <w:vAlign w:val="center"/>
          </w:tcPr>
          <w:p w14:paraId="261F4944" w14:textId="77777777" w:rsidR="00ED7F7C" w:rsidRDefault="00CD09D0">
            <w:pPr>
              <w:snapToGrid w:val="0"/>
              <w:spacing w:before="60" w:after="60" w:line="276" w:lineRule="auto"/>
              <w:ind w:firstLine="0"/>
            </w:pPr>
            <w:r>
              <w:rPr>
                <w:sz w:val="21"/>
              </w:rPr>
              <w:t>依量程及安全額定值調整。</w:t>
            </w:r>
          </w:p>
        </w:tc>
      </w:tr>
      <w:tr w:rsidR="00ED7F7C" w14:paraId="03CEE06F" w14:textId="77777777">
        <w:trPr>
          <w:cantSplit/>
          <w:jc w:val="center"/>
        </w:trPr>
        <w:tc>
          <w:tcPr>
            <w:tcW w:w="3402" w:type="dxa"/>
            <w:tcMar>
              <w:top w:w="85" w:type="dxa"/>
              <w:left w:w="85" w:type="dxa"/>
              <w:bottom w:w="85" w:type="dxa"/>
              <w:right w:w="85" w:type="dxa"/>
            </w:tcMar>
            <w:vAlign w:val="center"/>
          </w:tcPr>
          <w:p w14:paraId="57ABF021" w14:textId="77777777" w:rsidR="00ED7F7C" w:rsidRDefault="00CD09D0">
            <w:pPr>
              <w:snapToGrid w:val="0"/>
              <w:spacing w:before="60" w:after="60" w:line="276" w:lineRule="auto"/>
              <w:ind w:firstLine="0"/>
            </w:pPr>
            <w:r>
              <w:rPr>
                <w:sz w:val="21"/>
              </w:rPr>
              <w:t>PT100</w:t>
            </w:r>
            <w:r>
              <w:rPr>
                <w:sz w:val="21"/>
              </w:rPr>
              <w:t>與轉換器</w:t>
            </w:r>
          </w:p>
        </w:tc>
        <w:tc>
          <w:tcPr>
            <w:tcW w:w="1701" w:type="dxa"/>
            <w:tcMar>
              <w:top w:w="85" w:type="dxa"/>
              <w:left w:w="85" w:type="dxa"/>
              <w:bottom w:w="85" w:type="dxa"/>
              <w:right w:w="85" w:type="dxa"/>
            </w:tcMar>
            <w:vAlign w:val="center"/>
          </w:tcPr>
          <w:p w14:paraId="7A28147A" w14:textId="77777777" w:rsidR="00ED7F7C" w:rsidRDefault="00CD09D0">
            <w:pPr>
              <w:snapToGrid w:val="0"/>
              <w:spacing w:before="60" w:after="60" w:line="276" w:lineRule="auto"/>
              <w:ind w:firstLine="0"/>
            </w:pPr>
            <w:r>
              <w:rPr>
                <w:sz w:val="21"/>
              </w:rPr>
              <w:t>2,000–5,000</w:t>
            </w:r>
          </w:p>
        </w:tc>
        <w:tc>
          <w:tcPr>
            <w:tcW w:w="4082" w:type="dxa"/>
            <w:tcMar>
              <w:top w:w="85" w:type="dxa"/>
              <w:left w:w="85" w:type="dxa"/>
              <w:bottom w:w="85" w:type="dxa"/>
              <w:right w:w="85" w:type="dxa"/>
            </w:tcMar>
            <w:vAlign w:val="center"/>
          </w:tcPr>
          <w:p w14:paraId="6EA67B23" w14:textId="77777777" w:rsidR="00ED7F7C" w:rsidRDefault="00CD09D0">
            <w:pPr>
              <w:snapToGrid w:val="0"/>
              <w:spacing w:before="60" w:after="60" w:line="276" w:lineRule="auto"/>
              <w:ind w:firstLine="0"/>
            </w:pPr>
            <w:r>
              <w:rPr>
                <w:sz w:val="21"/>
              </w:rPr>
              <w:t>外殼及環境量測，含安裝耗材。</w:t>
            </w:r>
          </w:p>
        </w:tc>
      </w:tr>
      <w:tr w:rsidR="00ED7F7C" w14:paraId="1312FA57" w14:textId="77777777">
        <w:trPr>
          <w:cantSplit/>
          <w:jc w:val="center"/>
        </w:trPr>
        <w:tc>
          <w:tcPr>
            <w:tcW w:w="3402" w:type="dxa"/>
            <w:tcMar>
              <w:top w:w="85" w:type="dxa"/>
              <w:left w:w="85" w:type="dxa"/>
              <w:bottom w:w="85" w:type="dxa"/>
              <w:right w:w="85" w:type="dxa"/>
            </w:tcMar>
            <w:vAlign w:val="center"/>
          </w:tcPr>
          <w:p w14:paraId="3284B966" w14:textId="77777777" w:rsidR="00ED7F7C" w:rsidRDefault="00CD09D0">
            <w:pPr>
              <w:snapToGrid w:val="0"/>
              <w:spacing w:before="60" w:after="60" w:line="276" w:lineRule="auto"/>
              <w:ind w:firstLine="0"/>
            </w:pPr>
            <w:r>
              <w:rPr>
                <w:sz w:val="21"/>
              </w:rPr>
              <w:t>工況與隔離擷取介面</w:t>
            </w:r>
          </w:p>
        </w:tc>
        <w:tc>
          <w:tcPr>
            <w:tcW w:w="1701" w:type="dxa"/>
            <w:tcMar>
              <w:top w:w="85" w:type="dxa"/>
              <w:left w:w="85" w:type="dxa"/>
              <w:bottom w:w="85" w:type="dxa"/>
              <w:right w:w="85" w:type="dxa"/>
            </w:tcMar>
            <w:vAlign w:val="center"/>
          </w:tcPr>
          <w:p w14:paraId="28C944F0" w14:textId="77777777" w:rsidR="00ED7F7C" w:rsidRDefault="00CD09D0">
            <w:pPr>
              <w:snapToGrid w:val="0"/>
              <w:spacing w:before="60" w:after="60" w:line="276" w:lineRule="auto"/>
              <w:ind w:firstLine="0"/>
            </w:pPr>
            <w:r>
              <w:rPr>
                <w:sz w:val="21"/>
              </w:rPr>
              <w:t>4,000–10,000</w:t>
            </w:r>
          </w:p>
        </w:tc>
        <w:tc>
          <w:tcPr>
            <w:tcW w:w="4082" w:type="dxa"/>
            <w:tcMar>
              <w:top w:w="85" w:type="dxa"/>
              <w:left w:w="85" w:type="dxa"/>
              <w:bottom w:w="85" w:type="dxa"/>
              <w:right w:w="85" w:type="dxa"/>
            </w:tcMar>
            <w:vAlign w:val="center"/>
          </w:tcPr>
          <w:p w14:paraId="4C667E95" w14:textId="77777777" w:rsidR="00ED7F7C" w:rsidRDefault="00CD09D0">
            <w:pPr>
              <w:snapToGrid w:val="0"/>
              <w:spacing w:before="60" w:after="60" w:line="276" w:lineRule="auto"/>
              <w:ind w:firstLine="0"/>
            </w:pPr>
            <w:r>
              <w:rPr>
                <w:sz w:val="21"/>
              </w:rPr>
              <w:t>假設可讀既有真空計；新購高階真空計另估。</w:t>
            </w:r>
          </w:p>
        </w:tc>
      </w:tr>
      <w:tr w:rsidR="00ED7F7C" w14:paraId="415DC688" w14:textId="77777777">
        <w:trPr>
          <w:cantSplit/>
          <w:jc w:val="center"/>
        </w:trPr>
        <w:tc>
          <w:tcPr>
            <w:tcW w:w="3402" w:type="dxa"/>
            <w:tcMar>
              <w:top w:w="85" w:type="dxa"/>
              <w:left w:w="85" w:type="dxa"/>
              <w:bottom w:w="85" w:type="dxa"/>
              <w:right w:w="85" w:type="dxa"/>
            </w:tcMar>
            <w:vAlign w:val="center"/>
          </w:tcPr>
          <w:p w14:paraId="5A1A97C6" w14:textId="77777777" w:rsidR="00ED7F7C" w:rsidRDefault="00CD09D0">
            <w:pPr>
              <w:snapToGrid w:val="0"/>
              <w:spacing w:before="60" w:after="60" w:line="276" w:lineRule="auto"/>
              <w:ind w:firstLine="0"/>
            </w:pPr>
            <w:r>
              <w:rPr>
                <w:sz w:val="21"/>
              </w:rPr>
              <w:t>區域網路設備</w:t>
            </w:r>
          </w:p>
        </w:tc>
        <w:tc>
          <w:tcPr>
            <w:tcW w:w="1701" w:type="dxa"/>
            <w:tcMar>
              <w:top w:w="85" w:type="dxa"/>
              <w:left w:w="85" w:type="dxa"/>
              <w:bottom w:w="85" w:type="dxa"/>
              <w:right w:w="85" w:type="dxa"/>
            </w:tcMar>
            <w:vAlign w:val="center"/>
          </w:tcPr>
          <w:p w14:paraId="493D5B4C" w14:textId="77777777" w:rsidR="00ED7F7C" w:rsidRDefault="00CD09D0">
            <w:pPr>
              <w:snapToGrid w:val="0"/>
              <w:spacing w:before="60" w:after="60" w:line="276" w:lineRule="auto"/>
              <w:ind w:firstLine="0"/>
            </w:pPr>
            <w:r>
              <w:rPr>
                <w:sz w:val="21"/>
              </w:rPr>
              <w:t>2,000–5,000</w:t>
            </w:r>
          </w:p>
        </w:tc>
        <w:tc>
          <w:tcPr>
            <w:tcW w:w="4082" w:type="dxa"/>
            <w:tcMar>
              <w:top w:w="85" w:type="dxa"/>
              <w:left w:w="85" w:type="dxa"/>
              <w:bottom w:w="85" w:type="dxa"/>
              <w:right w:w="85" w:type="dxa"/>
            </w:tcMar>
            <w:vAlign w:val="center"/>
          </w:tcPr>
          <w:p w14:paraId="51E460AE" w14:textId="77777777" w:rsidR="00ED7F7C" w:rsidRDefault="00CD09D0">
            <w:pPr>
              <w:snapToGrid w:val="0"/>
              <w:spacing w:before="60" w:after="60" w:line="276" w:lineRule="auto"/>
              <w:ind w:firstLine="0"/>
            </w:pPr>
            <w:r>
              <w:rPr>
                <w:sz w:val="21"/>
              </w:rPr>
              <w:t>基地台、交換設備及線材；依現有資源調整。</w:t>
            </w:r>
          </w:p>
        </w:tc>
      </w:tr>
      <w:tr w:rsidR="00ED7F7C" w14:paraId="5ADFC035" w14:textId="77777777">
        <w:trPr>
          <w:cantSplit/>
          <w:jc w:val="center"/>
        </w:trPr>
        <w:tc>
          <w:tcPr>
            <w:tcW w:w="3402" w:type="dxa"/>
            <w:tcMar>
              <w:top w:w="85" w:type="dxa"/>
              <w:left w:w="85" w:type="dxa"/>
              <w:bottom w:w="85" w:type="dxa"/>
              <w:right w:w="85" w:type="dxa"/>
            </w:tcMar>
            <w:vAlign w:val="center"/>
          </w:tcPr>
          <w:p w14:paraId="459628A5" w14:textId="77777777" w:rsidR="00ED7F7C" w:rsidRDefault="00CD09D0">
            <w:pPr>
              <w:snapToGrid w:val="0"/>
              <w:spacing w:before="60" w:after="60" w:line="276" w:lineRule="auto"/>
              <w:ind w:firstLine="0"/>
            </w:pPr>
            <w:r>
              <w:rPr>
                <w:sz w:val="21"/>
              </w:rPr>
              <w:t>SSD</w:t>
            </w:r>
            <w:r>
              <w:rPr>
                <w:sz w:val="21"/>
              </w:rPr>
              <w:t>、保護箱、配線與備援供電</w:t>
            </w:r>
          </w:p>
        </w:tc>
        <w:tc>
          <w:tcPr>
            <w:tcW w:w="1701" w:type="dxa"/>
            <w:tcMar>
              <w:top w:w="85" w:type="dxa"/>
              <w:left w:w="85" w:type="dxa"/>
              <w:bottom w:w="85" w:type="dxa"/>
              <w:right w:w="85" w:type="dxa"/>
            </w:tcMar>
            <w:vAlign w:val="center"/>
          </w:tcPr>
          <w:p w14:paraId="2CA22898" w14:textId="77777777" w:rsidR="00ED7F7C" w:rsidRDefault="00CD09D0">
            <w:pPr>
              <w:snapToGrid w:val="0"/>
              <w:spacing w:before="60" w:after="60" w:line="276" w:lineRule="auto"/>
              <w:ind w:firstLine="0"/>
            </w:pPr>
            <w:r>
              <w:rPr>
                <w:sz w:val="21"/>
              </w:rPr>
              <w:t>6,500–11,000</w:t>
            </w:r>
          </w:p>
        </w:tc>
        <w:tc>
          <w:tcPr>
            <w:tcW w:w="4082" w:type="dxa"/>
            <w:tcMar>
              <w:top w:w="85" w:type="dxa"/>
              <w:left w:w="85" w:type="dxa"/>
              <w:bottom w:w="85" w:type="dxa"/>
              <w:right w:w="85" w:type="dxa"/>
            </w:tcMar>
            <w:vAlign w:val="center"/>
          </w:tcPr>
          <w:p w14:paraId="63FC2336" w14:textId="77777777" w:rsidR="00ED7F7C" w:rsidRDefault="00CD09D0">
            <w:pPr>
              <w:snapToGrid w:val="0"/>
              <w:spacing w:before="60" w:after="60" w:line="276" w:lineRule="auto"/>
              <w:ind w:firstLine="0"/>
            </w:pPr>
            <w:r>
              <w:rPr>
                <w:sz w:val="21"/>
              </w:rPr>
              <w:t>依儲存容量、外箱與備援方式調整。</w:t>
            </w:r>
          </w:p>
        </w:tc>
      </w:tr>
      <w:tr w:rsidR="00ED7F7C" w14:paraId="43FE9930" w14:textId="77777777">
        <w:trPr>
          <w:cantSplit/>
          <w:jc w:val="center"/>
        </w:trPr>
        <w:tc>
          <w:tcPr>
            <w:tcW w:w="3402" w:type="dxa"/>
            <w:tcMar>
              <w:top w:w="85" w:type="dxa"/>
              <w:left w:w="85" w:type="dxa"/>
              <w:bottom w:w="85" w:type="dxa"/>
              <w:right w:w="85" w:type="dxa"/>
            </w:tcMar>
            <w:vAlign w:val="center"/>
          </w:tcPr>
          <w:p w14:paraId="54DD992E" w14:textId="77777777" w:rsidR="00ED7F7C" w:rsidRDefault="00CD09D0">
            <w:pPr>
              <w:snapToGrid w:val="0"/>
              <w:spacing w:before="60" w:after="60" w:line="276" w:lineRule="auto"/>
              <w:ind w:firstLine="0"/>
            </w:pPr>
            <w:r>
              <w:rPr>
                <w:sz w:val="21"/>
              </w:rPr>
              <w:t>合計</w:t>
            </w:r>
          </w:p>
        </w:tc>
        <w:tc>
          <w:tcPr>
            <w:tcW w:w="1701" w:type="dxa"/>
            <w:tcMar>
              <w:top w:w="85" w:type="dxa"/>
              <w:left w:w="85" w:type="dxa"/>
              <w:bottom w:w="85" w:type="dxa"/>
              <w:right w:w="85" w:type="dxa"/>
            </w:tcMar>
            <w:vAlign w:val="center"/>
          </w:tcPr>
          <w:p w14:paraId="544A5114" w14:textId="77777777" w:rsidR="00ED7F7C" w:rsidRDefault="00CD09D0">
            <w:pPr>
              <w:snapToGrid w:val="0"/>
              <w:spacing w:before="60" w:after="60" w:line="276" w:lineRule="auto"/>
              <w:ind w:firstLine="0"/>
            </w:pPr>
            <w:r>
              <w:rPr>
                <w:sz w:val="21"/>
              </w:rPr>
              <w:t>80,000–165,500</w:t>
            </w:r>
          </w:p>
        </w:tc>
        <w:tc>
          <w:tcPr>
            <w:tcW w:w="4082" w:type="dxa"/>
            <w:tcMar>
              <w:top w:w="85" w:type="dxa"/>
              <w:left w:w="85" w:type="dxa"/>
              <w:bottom w:w="85" w:type="dxa"/>
              <w:right w:w="85" w:type="dxa"/>
            </w:tcMar>
            <w:vAlign w:val="center"/>
          </w:tcPr>
          <w:p w14:paraId="42153E2A" w14:textId="77777777" w:rsidR="00ED7F7C" w:rsidRDefault="00CD09D0">
            <w:pPr>
              <w:snapToGrid w:val="0"/>
              <w:spacing w:before="60" w:after="60" w:line="276" w:lineRule="auto"/>
              <w:ind w:firstLine="0"/>
            </w:pPr>
            <w:r>
              <w:rPr>
                <w:sz w:val="21"/>
              </w:rPr>
              <w:t>為上述估算加總，不含泵浦、伺服器、校正服務、安裝人工及稅運差異。</w:t>
            </w:r>
          </w:p>
        </w:tc>
      </w:tr>
    </w:tbl>
    <w:p w14:paraId="1947AEAA" w14:textId="77777777" w:rsidR="00ED7F7C" w:rsidRDefault="00ED7F7C">
      <w:pPr>
        <w:snapToGrid w:val="0"/>
        <w:spacing w:after="0"/>
        <w:jc w:val="both"/>
      </w:pPr>
    </w:p>
    <w:p w14:paraId="6E047CA2" w14:textId="77777777" w:rsidR="00ED7F7C" w:rsidRDefault="00CD09D0">
      <w:pPr>
        <w:snapToGrid w:val="0"/>
        <w:jc w:val="both"/>
      </w:pPr>
      <w:r>
        <w:t>上述預算只用來比較方案，並未取得廠商報價。優先借用學校既有</w:t>
      </w:r>
      <w:r>
        <w:t>DAQ</w:t>
      </w:r>
      <w:r>
        <w:t>、真空計和測試泵，可降低前期費用；正式採購需依相容性測試結果重新編列，不能為了符合估算而刪除必要隔離與保護。若採</w:t>
      </w:r>
      <w:r>
        <w:t>x86</w:t>
      </w:r>
      <w:r>
        <w:t>閘道、另購伺服器或導入工廠資安要求，需額外納入成本。預期停機損失的節省也必須以工廠實際維護資料計算，目前不估算投資報酬率。</w:t>
      </w:r>
    </w:p>
    <w:p w14:paraId="3D2E3AA1" w14:textId="77777777" w:rsidR="00ED7F7C" w:rsidRDefault="00CD09D0">
      <w:pPr>
        <w:pStyle w:val="1"/>
        <w:pageBreakBefore/>
        <w:snapToGrid w:val="0"/>
      </w:pPr>
      <w:bookmarkStart w:id="41" w:name="_Toc242566381"/>
      <w:r>
        <w:lastRenderedPageBreak/>
        <w:t>柒、結論</w:t>
      </w:r>
      <w:bookmarkEnd w:id="41"/>
    </w:p>
    <w:p w14:paraId="318BFBFF" w14:textId="77777777" w:rsidR="00ED7F7C" w:rsidRDefault="00CD09D0">
      <w:pPr>
        <w:snapToGrid w:val="0"/>
        <w:jc w:val="both"/>
      </w:pPr>
      <w:r>
        <w:t>本專題以乾式真空泵的非預期停機風險為出發點，提出融合震動、電流與溫度的異常預警模組，並把製程階段、壓力及轉速納入判斷背景。我們希望透過工況分流、資料品質檢查與持續性判定，改善單一數值門檻在正常負載切換時容易產生困擾的情形；以邊緣分析與本地暫存，則可減少對即時網路連線的依賴。</w:t>
      </w:r>
    </w:p>
    <w:p w14:paraId="624F2061" w14:textId="77777777" w:rsidR="00ED7F7C" w:rsidRDefault="00CD09D0">
      <w:pPr>
        <w:snapToGrid w:val="0"/>
        <w:jc w:val="both"/>
      </w:pPr>
      <w:r>
        <w:t>在規劃過程中，我們體會到可靠的預警並不只取決於</w:t>
      </w:r>
      <w:r>
        <w:t>AI</w:t>
      </w:r>
      <w:r>
        <w:t>模型。感測器固定、訊號隔離、取樣同步、資料切分與告警說明，都會影響使用者是否能信任系統。因此，本說明書將每個判斷步驟與待驗證條件寫清楚，也保留未知工況、缺值與失效分支，而不是勉強讓系統在任何情況下都給出正常或故障的答案。</w:t>
      </w:r>
    </w:p>
    <w:p w14:paraId="109A12AA" w14:textId="77777777" w:rsidR="00ED7F7C" w:rsidRDefault="00CD09D0">
      <w:pPr>
        <w:snapToGrid w:val="0"/>
        <w:jc w:val="both"/>
      </w:pPr>
      <w:r>
        <w:t>目前的成果是完整設計與驗證規劃，尚不能據此宣稱具備真實故障預測能力。後續應依六個月時程完成實機安裝、正常資料收集與獨立測試，再用維護紀錄確認預警是否有實際價值。若資料與安全條件成熟，可再研究新工況少量校準、多台設備差異及模型漂移管理。我們期待藉由這項專題累積機電整合、物聯網與資料科學的實作能力，讓作品逐步成為可追溯、可維護且能誠實說明限制的設備輔助工具。</w:t>
      </w:r>
    </w:p>
    <w:p w14:paraId="01CACD0B" w14:textId="77777777" w:rsidR="00ED7F7C" w:rsidRDefault="00CD09D0">
      <w:pPr>
        <w:pStyle w:val="1"/>
        <w:pageBreakBefore/>
        <w:snapToGrid w:val="0"/>
      </w:pPr>
      <w:bookmarkStart w:id="42" w:name="_Toc242566382"/>
      <w:r>
        <w:lastRenderedPageBreak/>
        <w:t>捌、參考資料及其他書籍</w:t>
      </w:r>
      <w:bookmarkEnd w:id="42"/>
    </w:p>
    <w:p w14:paraId="5C28C4D5" w14:textId="77777777" w:rsidR="00ED7F7C" w:rsidRDefault="00CD09D0">
      <w:pPr>
        <w:pStyle w:val="21"/>
        <w:snapToGrid w:val="0"/>
      </w:pPr>
      <w:bookmarkStart w:id="43" w:name="_Toc242566383"/>
      <w:r>
        <w:t>一、參考網站</w:t>
      </w:r>
      <w:bookmarkEnd w:id="43"/>
    </w:p>
    <w:p w14:paraId="2314152C" w14:textId="77777777" w:rsidR="00ED7F7C" w:rsidRDefault="00CD09D0">
      <w:pPr>
        <w:snapToGrid w:val="0"/>
        <w:jc w:val="both"/>
      </w:pPr>
      <w:r>
        <w:t>本文以方括號編號對應下列來源。規格與軟體功能引用官方文件；本專題的取樣設定、門檻、時程及經費屬設計提案，不是廠商保證或既有實測。網站查閱日期：</w:t>
      </w:r>
      <w:r>
        <w:t>2026</w:t>
      </w:r>
      <w:r>
        <w:t>年</w:t>
      </w:r>
      <w:r>
        <w:t>10</w:t>
      </w:r>
      <w:r>
        <w:t>月</w:t>
      </w:r>
      <w:r>
        <w:t>10</w:t>
      </w:r>
      <w:r>
        <w:t>日。</w:t>
      </w:r>
    </w:p>
    <w:p w14:paraId="547CF1C7" w14:textId="77777777" w:rsidR="00ED7F7C" w:rsidRDefault="00CD09D0">
      <w:pPr>
        <w:keepNext/>
        <w:snapToGrid w:val="0"/>
        <w:ind w:firstLine="0"/>
        <w:jc w:val="both"/>
      </w:pPr>
      <w:r>
        <w:t>[1] Edwards Vacuum. How predictive maintenance transforms semiconductor fab maintenance — Customer story.</w:t>
      </w:r>
    </w:p>
    <w:p w14:paraId="5854535B" w14:textId="77777777" w:rsidR="00ED7F7C" w:rsidRDefault="00CD09D0">
      <w:pPr>
        <w:keepNext/>
        <w:snapToGrid w:val="0"/>
        <w:spacing w:line="264" w:lineRule="auto"/>
        <w:ind w:firstLine="0"/>
        <w:jc w:val="both"/>
      </w:pPr>
      <w:r>
        <w:rPr>
          <w:color w:val="16324F"/>
          <w:sz w:val="20"/>
        </w:rPr>
        <w:t>https://www.edwardsvacuum.com/en-us/semiconductor/knowledge/innovation-hub/predictive-maintenance-reduced-costs-casestory</w:t>
      </w:r>
    </w:p>
    <w:p w14:paraId="360EB1C3" w14:textId="77777777" w:rsidR="00ED7F7C" w:rsidRDefault="00CD09D0">
      <w:pPr>
        <w:snapToGrid w:val="0"/>
        <w:ind w:firstLine="0"/>
        <w:jc w:val="both"/>
      </w:pPr>
      <w:r>
        <w:rPr>
          <w:sz w:val="21"/>
        </w:rPr>
        <w:t>用途：說明非預期真空泵故障、晶圓損失與預測性維護的產業背景；不移用案例成效為本專題成果。</w:t>
      </w:r>
    </w:p>
    <w:p w14:paraId="6CC6484D" w14:textId="77777777" w:rsidR="00ED7F7C" w:rsidRDefault="00CD09D0">
      <w:pPr>
        <w:keepNext/>
        <w:snapToGrid w:val="0"/>
        <w:ind w:firstLine="0"/>
        <w:jc w:val="both"/>
      </w:pPr>
      <w:r>
        <w:t>[2] Raspberry Pi. Raspberry Pi 5 — Specification.</w:t>
      </w:r>
    </w:p>
    <w:p w14:paraId="0DD0903C" w14:textId="77777777" w:rsidR="00ED7F7C" w:rsidRDefault="00CD09D0">
      <w:pPr>
        <w:keepNext/>
        <w:snapToGrid w:val="0"/>
        <w:spacing w:line="264" w:lineRule="auto"/>
        <w:ind w:firstLine="0"/>
        <w:jc w:val="both"/>
      </w:pPr>
      <w:r>
        <w:rPr>
          <w:color w:val="16324F"/>
          <w:sz w:val="20"/>
        </w:rPr>
        <w:t>https://www.raspberrypi.com/products/raspberry-pi-5</w:t>
      </w:r>
    </w:p>
    <w:p w14:paraId="153A14C2" w14:textId="77777777" w:rsidR="00ED7F7C" w:rsidRDefault="00CD09D0">
      <w:pPr>
        <w:snapToGrid w:val="0"/>
        <w:ind w:firstLine="0"/>
        <w:jc w:val="both"/>
      </w:pPr>
      <w:r>
        <w:rPr>
          <w:sz w:val="21"/>
        </w:rPr>
        <w:t>用途：邊緣裝置的處理器、網路、記憶體與供電介面。</w:t>
      </w:r>
    </w:p>
    <w:p w14:paraId="703B0A79" w14:textId="77777777" w:rsidR="00ED7F7C" w:rsidRDefault="00CD09D0">
      <w:pPr>
        <w:keepNext/>
        <w:snapToGrid w:val="0"/>
        <w:ind w:firstLine="0"/>
        <w:jc w:val="both"/>
      </w:pPr>
      <w:r>
        <w:t>[3] scikit-learn. IsolationForest API documentation.</w:t>
      </w:r>
    </w:p>
    <w:p w14:paraId="240DC669" w14:textId="77777777" w:rsidR="00ED7F7C" w:rsidRDefault="00CD09D0">
      <w:pPr>
        <w:keepNext/>
        <w:snapToGrid w:val="0"/>
        <w:spacing w:line="264" w:lineRule="auto"/>
        <w:ind w:firstLine="0"/>
        <w:jc w:val="both"/>
      </w:pPr>
      <w:r>
        <w:rPr>
          <w:color w:val="16324F"/>
          <w:sz w:val="20"/>
        </w:rPr>
        <w:t>https://scikit-learn.org/stable/modules/generated/sklearn.ensemble.IsolationForest.html</w:t>
      </w:r>
    </w:p>
    <w:p w14:paraId="3F8166C3" w14:textId="77777777" w:rsidR="00ED7F7C" w:rsidRDefault="00CD09D0">
      <w:pPr>
        <w:snapToGrid w:val="0"/>
        <w:ind w:firstLine="0"/>
        <w:jc w:val="both"/>
      </w:pPr>
      <w:r>
        <w:rPr>
          <w:sz w:val="21"/>
        </w:rPr>
        <w:t>用途：隔離森林原理、模型參數及異常分數介面。</w:t>
      </w:r>
    </w:p>
    <w:p w14:paraId="62501EA7" w14:textId="77777777" w:rsidR="00ED7F7C" w:rsidRDefault="00CD09D0">
      <w:pPr>
        <w:keepNext/>
        <w:snapToGrid w:val="0"/>
        <w:ind w:firstLine="0"/>
        <w:jc w:val="both"/>
      </w:pPr>
      <w:r>
        <w:t>[4] Keras. Timeseries anomaly detection using an Autoencoder. 2020.</w:t>
      </w:r>
    </w:p>
    <w:p w14:paraId="36B4E860" w14:textId="77777777" w:rsidR="00ED7F7C" w:rsidRDefault="00CD09D0">
      <w:pPr>
        <w:keepNext/>
        <w:snapToGrid w:val="0"/>
        <w:spacing w:line="264" w:lineRule="auto"/>
        <w:ind w:firstLine="0"/>
        <w:jc w:val="both"/>
      </w:pPr>
      <w:r>
        <w:rPr>
          <w:color w:val="16324F"/>
          <w:sz w:val="20"/>
        </w:rPr>
        <w:t>https://keras.io/examples/timeseries/timeseries_anomaly_detection</w:t>
      </w:r>
    </w:p>
    <w:p w14:paraId="55438071" w14:textId="77777777" w:rsidR="00ED7F7C" w:rsidRDefault="00CD09D0">
      <w:pPr>
        <w:snapToGrid w:val="0"/>
        <w:ind w:firstLine="0"/>
        <w:jc w:val="both"/>
      </w:pPr>
      <w:r>
        <w:rPr>
          <w:sz w:val="21"/>
        </w:rPr>
        <w:t>用途：時間序列重建與異常偵測的實作概念；不將範例資料當成真空泵資料。</w:t>
      </w:r>
    </w:p>
    <w:p w14:paraId="19A35987" w14:textId="77777777" w:rsidR="00ED7F7C" w:rsidRDefault="00CD09D0">
      <w:pPr>
        <w:keepNext/>
        <w:snapToGrid w:val="0"/>
        <w:ind w:firstLine="0"/>
        <w:jc w:val="both"/>
      </w:pPr>
      <w:r>
        <w:t>[5] OASIS. MQTT Version 5.0. OASIS Standard, 7 March 2019.</w:t>
      </w:r>
    </w:p>
    <w:p w14:paraId="2AAE47CB" w14:textId="77777777" w:rsidR="00ED7F7C" w:rsidRDefault="00CD09D0">
      <w:pPr>
        <w:keepNext/>
        <w:snapToGrid w:val="0"/>
        <w:spacing w:line="264" w:lineRule="auto"/>
        <w:ind w:firstLine="0"/>
        <w:jc w:val="both"/>
      </w:pPr>
      <w:r>
        <w:rPr>
          <w:color w:val="16324F"/>
          <w:sz w:val="20"/>
        </w:rPr>
        <w:t>https://docs.oasis-open.org/mqtt/mqtt/v5.0/mqtt-v5.0.html</w:t>
      </w:r>
    </w:p>
    <w:p w14:paraId="7B04EF9D" w14:textId="77777777" w:rsidR="00ED7F7C" w:rsidRDefault="00CD09D0">
      <w:pPr>
        <w:snapToGrid w:val="0"/>
        <w:ind w:firstLine="0"/>
        <w:jc w:val="both"/>
      </w:pPr>
      <w:r>
        <w:rPr>
          <w:sz w:val="21"/>
        </w:rPr>
        <w:t>用途：發布／訂閱、</w:t>
      </w:r>
      <w:r>
        <w:rPr>
          <w:sz w:val="21"/>
        </w:rPr>
        <w:t>QoS</w:t>
      </w:r>
      <w:r>
        <w:rPr>
          <w:sz w:val="21"/>
        </w:rPr>
        <w:t>及連線狀態設計。</w:t>
      </w:r>
    </w:p>
    <w:p w14:paraId="07695512" w14:textId="77777777" w:rsidR="00ED7F7C" w:rsidRDefault="00CD09D0">
      <w:pPr>
        <w:keepNext/>
        <w:snapToGrid w:val="0"/>
        <w:ind w:firstLine="0"/>
        <w:jc w:val="both"/>
      </w:pPr>
      <w:r>
        <w:t>[6] Grafana Labs. InfluxDB data source documentation.</w:t>
      </w:r>
    </w:p>
    <w:p w14:paraId="6EF150E7" w14:textId="77777777" w:rsidR="00ED7F7C" w:rsidRDefault="00CD09D0">
      <w:pPr>
        <w:keepNext/>
        <w:snapToGrid w:val="0"/>
        <w:spacing w:line="264" w:lineRule="auto"/>
        <w:ind w:firstLine="0"/>
        <w:jc w:val="both"/>
      </w:pPr>
      <w:r>
        <w:rPr>
          <w:color w:val="16324F"/>
          <w:sz w:val="20"/>
        </w:rPr>
        <w:t>https://grafana.com/docs/grafana/latest/datasources/influxdb</w:t>
      </w:r>
    </w:p>
    <w:p w14:paraId="3AB9A50E" w14:textId="77777777" w:rsidR="00ED7F7C" w:rsidRDefault="00CD09D0">
      <w:pPr>
        <w:snapToGrid w:val="0"/>
        <w:ind w:firstLine="0"/>
        <w:jc w:val="both"/>
      </w:pPr>
      <w:r>
        <w:rPr>
          <w:sz w:val="21"/>
        </w:rPr>
        <w:t>用途：儀表板資料來源及版本相容性。</w:t>
      </w:r>
    </w:p>
    <w:p w14:paraId="7EFDDCBA" w14:textId="77777777" w:rsidR="00ED7F7C" w:rsidRDefault="00CD09D0">
      <w:pPr>
        <w:keepNext/>
        <w:snapToGrid w:val="0"/>
        <w:ind w:firstLine="0"/>
        <w:jc w:val="both"/>
      </w:pPr>
      <w:r>
        <w:t>[7] InfluxData. Handle duplicate data points — InfluxDB OSS v2 documentation.</w:t>
      </w:r>
    </w:p>
    <w:p w14:paraId="6C09D92F" w14:textId="77777777" w:rsidR="00ED7F7C" w:rsidRDefault="00CD09D0">
      <w:pPr>
        <w:keepNext/>
        <w:snapToGrid w:val="0"/>
        <w:spacing w:line="264" w:lineRule="auto"/>
        <w:ind w:firstLine="0"/>
        <w:jc w:val="both"/>
      </w:pPr>
      <w:r>
        <w:rPr>
          <w:color w:val="16324F"/>
          <w:sz w:val="20"/>
        </w:rPr>
        <w:t>https://docs.influxdata.com/influxdb/v2/write-data/best-practices/duplicate-points</w:t>
      </w:r>
    </w:p>
    <w:p w14:paraId="50DDC59A" w14:textId="77777777" w:rsidR="00ED7F7C" w:rsidRDefault="00CD09D0">
      <w:pPr>
        <w:snapToGrid w:val="0"/>
        <w:ind w:firstLine="0"/>
        <w:jc w:val="both"/>
      </w:pPr>
      <w:r>
        <w:rPr>
          <w:sz w:val="21"/>
        </w:rPr>
        <w:t>用途：時序資料識別與補傳去重設計。</w:t>
      </w:r>
    </w:p>
    <w:p w14:paraId="66F28394" w14:textId="77777777" w:rsidR="00ED7F7C" w:rsidRDefault="00CD09D0">
      <w:pPr>
        <w:keepNext/>
        <w:snapToGrid w:val="0"/>
        <w:ind w:firstLine="0"/>
        <w:jc w:val="both"/>
      </w:pPr>
      <w:r>
        <w:t>[9] Analog Devices. ADXL1002 — Datasheet and Product Info.</w:t>
      </w:r>
    </w:p>
    <w:p w14:paraId="00AEAE6B" w14:textId="77777777" w:rsidR="00ED7F7C" w:rsidRDefault="00CD09D0">
      <w:pPr>
        <w:keepNext/>
        <w:snapToGrid w:val="0"/>
        <w:spacing w:line="264" w:lineRule="auto"/>
        <w:ind w:firstLine="0"/>
        <w:jc w:val="both"/>
      </w:pPr>
      <w:r>
        <w:rPr>
          <w:color w:val="16324F"/>
          <w:sz w:val="20"/>
        </w:rPr>
        <w:t>https://www.analog.com/en/products/adxl1002.html</w:t>
      </w:r>
    </w:p>
    <w:p w14:paraId="4865F6B1" w14:textId="77777777" w:rsidR="00ED7F7C" w:rsidRDefault="00CD09D0">
      <w:pPr>
        <w:snapToGrid w:val="0"/>
        <w:ind w:firstLine="0"/>
        <w:jc w:val="both"/>
      </w:pPr>
      <w:r>
        <w:rPr>
          <w:sz w:val="21"/>
        </w:rPr>
        <w:t>用途：高頻類比</w:t>
      </w:r>
      <w:r>
        <w:rPr>
          <w:sz w:val="21"/>
        </w:rPr>
        <w:t>MEMS</w:t>
      </w:r>
      <w:r>
        <w:rPr>
          <w:sz w:val="21"/>
        </w:rPr>
        <w:t>感測器作為替代方案時的規格及介面限制。</w:t>
      </w:r>
    </w:p>
    <w:p w14:paraId="0AB5CA82" w14:textId="77777777" w:rsidR="00ED7F7C" w:rsidRDefault="00CD09D0">
      <w:pPr>
        <w:keepNext/>
        <w:snapToGrid w:val="0"/>
        <w:ind w:firstLine="0"/>
        <w:jc w:val="both"/>
      </w:pPr>
      <w:r>
        <w:lastRenderedPageBreak/>
        <w:t>[11] NI. USB-4431 — Sound and Vibration Device</w:t>
      </w:r>
      <w:r>
        <w:t>產品規格</w:t>
      </w:r>
      <w:r>
        <w:t>.</w:t>
      </w:r>
    </w:p>
    <w:p w14:paraId="7B2692DF" w14:textId="77777777" w:rsidR="00ED7F7C" w:rsidRDefault="00CD09D0">
      <w:pPr>
        <w:keepNext/>
        <w:snapToGrid w:val="0"/>
        <w:spacing w:line="264" w:lineRule="auto"/>
        <w:ind w:firstLine="0"/>
        <w:jc w:val="both"/>
      </w:pPr>
      <w:r>
        <w:rPr>
          <w:color w:val="16324F"/>
          <w:sz w:val="20"/>
        </w:rPr>
        <w:t>https://ni.com/zh-cn/shop/hardware/sound-and-vibration/model-usb-4431</w:t>
      </w:r>
    </w:p>
    <w:p w14:paraId="11DD7751" w14:textId="77777777" w:rsidR="00ED7F7C" w:rsidRDefault="00CD09D0">
      <w:pPr>
        <w:snapToGrid w:val="0"/>
        <w:ind w:firstLine="0"/>
        <w:jc w:val="both"/>
      </w:pPr>
      <w:r>
        <w:rPr>
          <w:sz w:val="21"/>
        </w:rPr>
        <w:t>用途：同步取樣、</w:t>
      </w:r>
      <w:r>
        <w:rPr>
          <w:sz w:val="21"/>
        </w:rPr>
        <w:t>IEPE</w:t>
      </w:r>
      <w:r>
        <w:rPr>
          <w:sz w:val="21"/>
        </w:rPr>
        <w:t>及抗混疊規格參考；不是本案已驗證的</w:t>
      </w:r>
      <w:r>
        <w:rPr>
          <w:sz w:val="21"/>
        </w:rPr>
        <w:t>Raspberry Pi</w:t>
      </w:r>
      <w:r>
        <w:rPr>
          <w:sz w:val="21"/>
        </w:rPr>
        <w:t>相容型號，也不是本案正式報價來源。</w:t>
      </w:r>
    </w:p>
    <w:p w14:paraId="78370D1A" w14:textId="77777777" w:rsidR="00ED7F7C" w:rsidRDefault="00CD09D0">
      <w:pPr>
        <w:snapToGrid w:val="0"/>
        <w:jc w:val="both"/>
      </w:pPr>
      <w:r>
        <w:t>另參考使用者提供的《專</w:t>
      </w:r>
      <w:r>
        <w:t>-115-</w:t>
      </w:r>
      <w:r>
        <w:t>電</w:t>
      </w:r>
      <w:r>
        <w:t>-05_</w:t>
      </w:r>
      <w:r>
        <w:t>電機與電子群</w:t>
      </w:r>
      <w:r>
        <w:t>.pdf</w:t>
      </w:r>
      <w:r>
        <w:t>》（作品名稱：自動收羽球機），採用其封面、壹至捌章順序及圖說風格；摘要、動機與課程形式參考</w:t>
      </w:r>
      <w:r>
        <w:t>PDF</w:t>
      </w:r>
      <w:r>
        <w:t>第</w:t>
      </w:r>
      <w:r>
        <w:t>5–6</w:t>
      </w:r>
      <w:r>
        <w:t>頁，硬體及軟體呈現參考第</w:t>
      </w:r>
      <w:r>
        <w:t>8–15</w:t>
      </w:r>
      <w:r>
        <w:t>頁，介面與結果形式參考第</w:t>
      </w:r>
      <w:r>
        <w:t>16–24</w:t>
      </w:r>
      <w:r>
        <w:t>頁。依本次指定目錄，不延用原作「玖、附錄」及原作品分工紀錄，也不移植原作實驗成果。</w:t>
      </w:r>
    </w:p>
    <w:p w14:paraId="72FEA4DD" w14:textId="77777777" w:rsidR="00ED7F7C" w:rsidRDefault="00CD09D0">
      <w:pPr>
        <w:pStyle w:val="21"/>
        <w:snapToGrid w:val="0"/>
      </w:pPr>
      <w:bookmarkStart w:id="44" w:name="_Toc242566384"/>
      <w:r>
        <w:t>二、參考書籍</w:t>
      </w:r>
      <w:bookmarkEnd w:id="44"/>
    </w:p>
    <w:p w14:paraId="2E07AD65" w14:textId="77777777" w:rsidR="00ED7F7C" w:rsidRDefault="00CD09D0">
      <w:pPr>
        <w:keepNext/>
        <w:snapToGrid w:val="0"/>
        <w:ind w:firstLine="0"/>
        <w:jc w:val="both"/>
      </w:pPr>
      <w:r>
        <w:t>[8] Goodfellow, I., Bengio, Y., &amp; Courville, A.</w:t>
      </w:r>
      <w:r>
        <w:t>（</w:t>
      </w:r>
      <w:r>
        <w:t>2016</w:t>
      </w:r>
      <w:r>
        <w:t>）</w:t>
      </w:r>
      <w:r>
        <w:t>. Deep Learning. MIT Press.</w:t>
      </w:r>
    </w:p>
    <w:p w14:paraId="7793BFF3" w14:textId="77777777" w:rsidR="00ED7F7C" w:rsidRDefault="00CD09D0">
      <w:pPr>
        <w:keepNext/>
        <w:snapToGrid w:val="0"/>
        <w:spacing w:line="264" w:lineRule="auto"/>
        <w:ind w:firstLine="0"/>
        <w:jc w:val="both"/>
      </w:pPr>
      <w:r>
        <w:rPr>
          <w:color w:val="16324F"/>
          <w:sz w:val="20"/>
        </w:rPr>
        <w:t>https://www.deeplearningbook.org</w:t>
      </w:r>
    </w:p>
    <w:p w14:paraId="7A37B952" w14:textId="77777777" w:rsidR="00ED7F7C" w:rsidRDefault="00CD09D0">
      <w:pPr>
        <w:snapToGrid w:val="0"/>
        <w:ind w:firstLine="0"/>
        <w:jc w:val="both"/>
      </w:pPr>
      <w:r>
        <w:rPr>
          <w:sz w:val="21"/>
        </w:rPr>
        <w:t>參考重點：機器學習基礎、序列模型與第</w:t>
      </w:r>
      <w:r>
        <w:rPr>
          <w:sz w:val="21"/>
        </w:rPr>
        <w:t>14</w:t>
      </w:r>
      <w:r>
        <w:rPr>
          <w:sz w:val="21"/>
        </w:rPr>
        <w:t>章</w:t>
      </w:r>
      <w:r>
        <w:rPr>
          <w:sz w:val="21"/>
        </w:rPr>
        <w:t>Autoencoders</w:t>
      </w:r>
      <w:r>
        <w:rPr>
          <w:sz w:val="21"/>
        </w:rPr>
        <w:t>。作者提供免費線上閱讀版。</w:t>
      </w:r>
    </w:p>
    <w:p w14:paraId="46CD7C4B" w14:textId="77777777" w:rsidR="00ED7F7C" w:rsidRDefault="00CD09D0">
      <w:pPr>
        <w:keepNext/>
        <w:snapToGrid w:val="0"/>
        <w:ind w:firstLine="0"/>
        <w:jc w:val="both"/>
      </w:pPr>
      <w:r>
        <w:t>[10] Randall, R. B.</w:t>
      </w:r>
      <w:r>
        <w:t>（</w:t>
      </w:r>
      <w:r>
        <w:t>2011</w:t>
      </w:r>
      <w:r>
        <w:t>）</w:t>
      </w:r>
      <w:r>
        <w:t>. Vibration-based Condition Monitoring: Industrial, Aerospace and Automotive Applications. John Wiley &amp; Sons. ISBN 9780470747858. DOI: 10.1002/9780470977668.</w:t>
      </w:r>
    </w:p>
    <w:p w14:paraId="54262CAD" w14:textId="77777777" w:rsidR="00ED7F7C" w:rsidRDefault="00CD09D0">
      <w:pPr>
        <w:keepNext/>
        <w:snapToGrid w:val="0"/>
        <w:spacing w:line="264" w:lineRule="auto"/>
        <w:ind w:firstLine="0"/>
        <w:jc w:val="both"/>
      </w:pPr>
      <w:r>
        <w:rPr>
          <w:color w:val="16324F"/>
          <w:sz w:val="20"/>
        </w:rPr>
        <w:t>https://onlinelibrary.wiley.com/doi/book/10.1002/9780470977668</w:t>
      </w:r>
    </w:p>
    <w:p w14:paraId="578CC41C" w14:textId="77777777" w:rsidR="00ED7F7C" w:rsidRDefault="00CD09D0">
      <w:pPr>
        <w:snapToGrid w:val="0"/>
        <w:ind w:firstLine="0"/>
        <w:jc w:val="both"/>
      </w:pPr>
      <w:r>
        <w:rPr>
          <w:sz w:val="21"/>
        </w:rPr>
        <w:t>參考重點：振動訊號、訊號處理、偵測及診斷基礎；出版網站列線上首次出版為</w:t>
      </w:r>
      <w:r>
        <w:rPr>
          <w:sz w:val="21"/>
        </w:rPr>
        <w:t>2010</w:t>
      </w:r>
      <w:r>
        <w:rPr>
          <w:sz w:val="21"/>
        </w:rPr>
        <w:t>年</w:t>
      </w:r>
      <w:r>
        <w:rPr>
          <w:sz w:val="21"/>
        </w:rPr>
        <w:t>12</w:t>
      </w:r>
      <w:r>
        <w:rPr>
          <w:sz w:val="21"/>
        </w:rPr>
        <w:t>月</w:t>
      </w:r>
      <w:r>
        <w:rPr>
          <w:sz w:val="21"/>
        </w:rPr>
        <w:t>19</w:t>
      </w:r>
      <w:r>
        <w:rPr>
          <w:sz w:val="21"/>
        </w:rPr>
        <w:t>日、版權年為</w:t>
      </w:r>
      <w:r>
        <w:rPr>
          <w:sz w:val="21"/>
        </w:rPr>
        <w:t>2011</w:t>
      </w:r>
      <w:r>
        <w:rPr>
          <w:sz w:val="21"/>
        </w:rPr>
        <w:t>年。</w:t>
      </w:r>
    </w:p>
    <w:p w14:paraId="4E4C4927" w14:textId="77777777" w:rsidR="00ED7F7C" w:rsidRDefault="00CD09D0">
      <w:pPr>
        <w:snapToGrid w:val="0"/>
        <w:jc w:val="both"/>
      </w:pPr>
      <w:r>
        <w:t>以上書籍用於補充模型概念、訊號分析與機械狀態監測的學習背景，不表示本模組已依書中方法完成真空泵故障實證。後續實作仍應以實際泵型手冊、感測器校正單與原廠安全規範作為安裝及操作依據。</w:t>
      </w:r>
    </w:p>
    <w:p w14:paraId="5F9F34FB" w14:textId="06052883" w:rsidR="00D0235A" w:rsidRDefault="00657D96">
      <w:pPr>
        <w:pStyle w:val="1"/>
        <w:pageBreakBefore/>
        <w:spacing w:after="120" w:line="269" w:lineRule="auto"/>
      </w:pPr>
      <w:bookmarkStart w:id="45" w:name="_Toc242566385"/>
      <w:r>
        <w:rPr>
          <w:sz w:val="30"/>
        </w:rPr>
        <w:lastRenderedPageBreak/>
        <w:t>｜</w:t>
      </w:r>
      <w:r>
        <w:rPr>
          <w:sz w:val="30"/>
        </w:rPr>
        <w:t>NVIDIA RTX 6000 Ada Generation</w:t>
      </w:r>
      <w:r>
        <w:rPr>
          <w:sz w:val="30"/>
        </w:rPr>
        <w:t>的重要性</w:t>
      </w:r>
      <w:bookmarkEnd w:id="45"/>
    </w:p>
    <w:p w14:paraId="79C07CE3" w14:textId="6C623B43" w:rsidR="00D0235A" w:rsidRDefault="00657D96">
      <w:pPr>
        <w:spacing w:after="80" w:line="286" w:lineRule="exact"/>
        <w:ind w:firstLine="0"/>
      </w:pPr>
      <w:r>
        <w:rPr>
          <w:b/>
          <w:color w:val="16324F"/>
          <w:sz w:val="21"/>
        </w:rPr>
        <w:t>研究定位：支援較大規模的訓練與重複驗證，是泵浦端必要設備。</w:t>
      </w:r>
    </w:p>
    <w:p w14:paraId="68840C65" w14:textId="77777777" w:rsidR="00D0235A" w:rsidRDefault="00657D96">
      <w:pPr>
        <w:keepNext/>
        <w:spacing w:after="60" w:line="240" w:lineRule="auto"/>
        <w:ind w:firstLine="0"/>
        <w:jc w:val="center"/>
      </w:pPr>
      <w:r>
        <w:rPr>
          <w:noProof/>
        </w:rPr>
        <w:drawing>
          <wp:inline distT="0" distB="0" distL="0" distR="0" wp14:anchorId="1F64A5C1" wp14:editId="73379ED3">
            <wp:extent cx="2592000" cy="1690992"/>
            <wp:effectExtent l="0" t="0" r="0" b="0"/>
            <wp:docPr id="8" name="Picture 8" descr="使用者提供的NVIDIA RTX 6000 Ada Generation產品圖片；非本實驗現場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99e0a7.png"/>
                    <pic:cNvPicPr/>
                  </pic:nvPicPr>
                  <pic:blipFill>
                    <a:blip r:embed="rId17"/>
                    <a:stretch>
                      <a:fillRect/>
                    </a:stretch>
                  </pic:blipFill>
                  <pic:spPr>
                    <a:xfrm>
                      <a:off x="0" y="0"/>
                      <a:ext cx="2592000" cy="1690992"/>
                    </a:xfrm>
                    <a:prstGeom prst="rect">
                      <a:avLst/>
                    </a:prstGeom>
                  </pic:spPr>
                </pic:pic>
              </a:graphicData>
            </a:graphic>
          </wp:inline>
        </w:drawing>
      </w:r>
    </w:p>
    <w:p w14:paraId="2CDC6951" w14:textId="7964A2E2" w:rsidR="00D0235A" w:rsidRDefault="00657D96">
      <w:pPr>
        <w:pStyle w:val="af7"/>
        <w:spacing w:after="100" w:line="240" w:lineRule="auto"/>
        <w:jc w:val="center"/>
        <w:rPr>
          <w:rFonts w:hint="eastAsia"/>
        </w:rPr>
      </w:pPr>
      <w:r>
        <w:rPr>
          <w:sz w:val="17"/>
        </w:rPr>
        <w:t>圖</w:t>
      </w:r>
      <w:r>
        <w:rPr>
          <w:sz w:val="17"/>
        </w:rPr>
        <w:t>26</w:t>
      </w:r>
      <w:r>
        <w:rPr>
          <w:sz w:val="17"/>
        </w:rPr>
        <w:t>、</w:t>
      </w:r>
      <w:r>
        <w:rPr>
          <w:sz w:val="17"/>
        </w:rPr>
        <w:t>NVIDIA RTX 6000 Ada Generation</w:t>
      </w:r>
    </w:p>
    <w:p w14:paraId="1EC10E1D" w14:textId="77777777" w:rsidR="00D0235A" w:rsidRDefault="00657D96">
      <w:pPr>
        <w:spacing w:after="80" w:line="286" w:lineRule="exact"/>
        <w:ind w:firstLine="0"/>
      </w:pPr>
      <w:r>
        <w:rPr>
          <w:sz w:val="21"/>
        </w:rPr>
        <w:t>我們將</w:t>
      </w:r>
      <w:r>
        <w:rPr>
          <w:sz w:val="21"/>
        </w:rPr>
        <w:t>RTX 6000 Ada Generation</w:t>
      </w:r>
      <w:r>
        <w:rPr>
          <w:sz w:val="21"/>
        </w:rPr>
        <w:t>定位為訓練工作站的選配運算資源。跨工況研究需要反覆比較不同批次、視窗長度與模型設定；當資料及深度模型規模增加時，</w:t>
      </w:r>
      <w:r>
        <w:rPr>
          <w:sz w:val="21"/>
        </w:rPr>
        <w:t>GPU</w:t>
      </w:r>
      <w:r>
        <w:rPr>
          <w:sz w:val="21"/>
        </w:rPr>
        <w:t>有助於提升可執行的實驗規模，但不能代替感測品質或真實故障標記。本卡具有</w:t>
      </w:r>
      <w:r>
        <w:rPr>
          <w:sz w:val="21"/>
        </w:rPr>
        <w:t>48 GB GDDR6 ECC</w:t>
      </w:r>
      <w:r>
        <w:rPr>
          <w:sz w:val="21"/>
        </w:rPr>
        <w:t>顯示記憶體、</w:t>
      </w:r>
      <w:r>
        <w:rPr>
          <w:sz w:val="21"/>
        </w:rPr>
        <w:t>18,176</w:t>
      </w:r>
      <w:r>
        <w:rPr>
          <w:sz w:val="21"/>
        </w:rPr>
        <w:t>個</w:t>
      </w:r>
      <w:r>
        <w:rPr>
          <w:sz w:val="21"/>
        </w:rPr>
        <w:t>CUDA</w:t>
      </w:r>
      <w:r>
        <w:rPr>
          <w:sz w:val="21"/>
        </w:rPr>
        <w:t>核心及</w:t>
      </w:r>
      <w:r>
        <w:rPr>
          <w:sz w:val="21"/>
        </w:rPr>
        <w:t>568</w:t>
      </w:r>
      <w:r>
        <w:rPr>
          <w:sz w:val="21"/>
        </w:rPr>
        <w:t>個第四代</w:t>
      </w:r>
      <w:r>
        <w:rPr>
          <w:sz w:val="21"/>
        </w:rPr>
        <w:t>Tensor</w:t>
      </w:r>
      <w:r>
        <w:rPr>
          <w:sz w:val="21"/>
        </w:rPr>
        <w:t>核心。</w:t>
      </w:r>
      <w:r>
        <w:rPr>
          <w:sz w:val="21"/>
        </w:rPr>
        <w:t>[12][13]</w:t>
      </w:r>
    </w:p>
    <w:p w14:paraId="6F471F29" w14:textId="77777777" w:rsidR="00D0235A" w:rsidRDefault="00657D96">
      <w:pPr>
        <w:keepNext/>
        <w:spacing w:after="80" w:line="286" w:lineRule="exact"/>
        <w:ind w:firstLine="0"/>
      </w:pPr>
      <w:r>
        <w:rPr>
          <w:b/>
          <w:color w:val="16324F"/>
          <w:sz w:val="21"/>
        </w:rPr>
        <w:t>一、為何對本研究有價值</w:t>
      </w:r>
    </w:p>
    <w:p w14:paraId="168363AE" w14:textId="77777777" w:rsidR="00D0235A" w:rsidRDefault="00657D96">
      <w:pPr>
        <w:spacing w:after="80" w:line="286" w:lineRule="exact"/>
        <w:ind w:firstLine="0"/>
      </w:pPr>
      <w:r>
        <w:rPr>
          <w:sz w:val="21"/>
        </w:rPr>
        <w:t>48 GB</w:t>
      </w:r>
      <w:r>
        <w:rPr>
          <w:sz w:val="21"/>
        </w:rPr>
        <w:t>顯示記憶體可容納較大的多模態序列批次、模型參數與中間張量；</w:t>
      </w:r>
      <w:r>
        <w:rPr>
          <w:sz w:val="21"/>
        </w:rPr>
        <w:t>CUDA</w:t>
      </w:r>
      <w:r>
        <w:rPr>
          <w:sz w:val="21"/>
        </w:rPr>
        <w:t>與</w:t>
      </w:r>
      <w:r>
        <w:rPr>
          <w:sz w:val="21"/>
        </w:rPr>
        <w:t>Tensor</w:t>
      </w:r>
      <w:r>
        <w:rPr>
          <w:sz w:val="21"/>
        </w:rPr>
        <w:t>核心可支援相容框架的</w:t>
      </w:r>
      <w:r>
        <w:rPr>
          <w:sz w:val="21"/>
        </w:rPr>
        <w:t>Autoencoder</w:t>
      </w:r>
      <w:r>
        <w:rPr>
          <w:sz w:val="21"/>
        </w:rPr>
        <w:t>訓練及混合精度運算。</w:t>
      </w:r>
      <w:r>
        <w:rPr>
          <w:sz w:val="21"/>
        </w:rPr>
        <w:t>[12][13]</w:t>
      </w:r>
      <w:r>
        <w:rPr>
          <w:sz w:val="21"/>
        </w:rPr>
        <w:t>我們可據此規劃多個隨機種子、留一工況及消融實驗。</w:t>
      </w:r>
      <w:r>
        <w:rPr>
          <w:sz w:val="21"/>
        </w:rPr>
        <w:t>ECC</w:t>
      </w:r>
      <w:r>
        <w:rPr>
          <w:sz w:val="21"/>
        </w:rPr>
        <w:t>有助於降低顯示記憶體錯誤風險，但不會自動提高感測精度或辨識率。</w:t>
      </w:r>
    </w:p>
    <w:p w14:paraId="4993C062" w14:textId="77777777" w:rsidR="00D0235A" w:rsidRDefault="00657D96">
      <w:pPr>
        <w:keepNext/>
        <w:spacing w:after="80" w:line="286" w:lineRule="exact"/>
        <w:ind w:firstLine="0"/>
      </w:pPr>
      <w:r>
        <w:rPr>
          <w:b/>
          <w:color w:val="16324F"/>
          <w:sz w:val="21"/>
        </w:rPr>
        <w:t>二、與邊緣裝置如何分工</w:t>
      </w:r>
    </w:p>
    <w:p w14:paraId="444855F4" w14:textId="77777777" w:rsidR="00D0235A" w:rsidRDefault="00657D96">
      <w:pPr>
        <w:spacing w:after="80" w:line="286" w:lineRule="exact"/>
        <w:ind w:firstLine="0"/>
      </w:pPr>
      <w:r>
        <w:rPr>
          <w:sz w:val="21"/>
        </w:rPr>
        <w:t>資料依批次切分後，在工作站訓練並驗證模型，再將相容的模型版本部署至</w:t>
      </w:r>
      <w:r>
        <w:rPr>
          <w:sz w:val="21"/>
        </w:rPr>
        <w:t>Raspberry Pi</w:t>
      </w:r>
      <w:r>
        <w:rPr>
          <w:sz w:val="21"/>
        </w:rPr>
        <w:t>或其他邊緣裝置。</w:t>
      </w:r>
      <w:r>
        <w:rPr>
          <w:sz w:val="21"/>
        </w:rPr>
        <w:t>scikit-learn</w:t>
      </w:r>
      <w:r>
        <w:rPr>
          <w:sz w:val="21"/>
        </w:rPr>
        <w:t>版</w:t>
      </w:r>
      <w:r>
        <w:rPr>
          <w:sz w:val="21"/>
        </w:rPr>
        <w:t>Isolation Forest</w:t>
      </w:r>
      <w:r>
        <w:rPr>
          <w:sz w:val="21"/>
        </w:rPr>
        <w:t>主要使用</w:t>
      </w:r>
      <w:r>
        <w:rPr>
          <w:sz w:val="21"/>
        </w:rPr>
        <w:t>CPU</w:t>
      </w:r>
      <w:r>
        <w:rPr>
          <w:sz w:val="21"/>
        </w:rPr>
        <w:t>，安裝顯卡不會自動加速；</w:t>
      </w:r>
      <w:r>
        <w:rPr>
          <w:sz w:val="21"/>
        </w:rPr>
        <w:t>Raspberry Pi</w:t>
      </w:r>
      <w:r>
        <w:rPr>
          <w:sz w:val="21"/>
        </w:rPr>
        <w:t>也不能直接執行</w:t>
      </w:r>
      <w:r>
        <w:rPr>
          <w:sz w:val="21"/>
        </w:rPr>
        <w:t>CUDA</w:t>
      </w:r>
      <w:r>
        <w:rPr>
          <w:sz w:val="21"/>
        </w:rPr>
        <w:t>。混合精度與部署轉換均需另查相容性並重新校準分數，不套用廠商峰值算力宣稱本實驗加速倍數。</w:t>
      </w:r>
    </w:p>
    <w:p w14:paraId="26165021" w14:textId="77777777" w:rsidR="00D0235A" w:rsidRDefault="00657D96">
      <w:pPr>
        <w:keepNext/>
        <w:spacing w:after="80" w:line="286" w:lineRule="exact"/>
        <w:ind w:firstLine="0"/>
      </w:pPr>
      <w:r>
        <w:rPr>
          <w:b/>
          <w:color w:val="16324F"/>
          <w:sz w:val="21"/>
        </w:rPr>
        <w:t>三、必要性與後續驗證</w:t>
      </w:r>
    </w:p>
    <w:p w14:paraId="410CB756" w14:textId="77777777" w:rsidR="00D0235A" w:rsidRDefault="00657D96">
      <w:pPr>
        <w:spacing w:after="80" w:line="286" w:lineRule="exact"/>
        <w:ind w:firstLine="0"/>
      </w:pPr>
      <w:r>
        <w:rPr>
          <w:sz w:val="21"/>
        </w:rPr>
        <w:t>小型特徵模型不一定需要此卡；重要性在於支援研究擴充，而非「沒有此卡就不能預警」。</w:t>
      </w:r>
      <w:r>
        <w:rPr>
          <w:sz w:val="21"/>
        </w:rPr>
        <w:t>PCIe 4.0 x16</w:t>
      </w:r>
      <w:r>
        <w:rPr>
          <w:sz w:val="21"/>
        </w:rPr>
        <w:t>介面、最高</w:t>
      </w:r>
      <w:r>
        <w:rPr>
          <w:sz w:val="21"/>
        </w:rPr>
        <w:t>300 W</w:t>
      </w:r>
      <w:r>
        <w:rPr>
          <w:sz w:val="21"/>
        </w:rPr>
        <w:t>板卡功耗與工作站散熱／供電均須納入規劃。</w:t>
      </w:r>
      <w:r>
        <w:rPr>
          <w:sz w:val="21"/>
        </w:rPr>
        <w:t>[13]GPU</w:t>
      </w:r>
      <w:r>
        <w:rPr>
          <w:sz w:val="21"/>
        </w:rPr>
        <w:t>與工作站未列入原型</w:t>
      </w:r>
      <w:r>
        <w:rPr>
          <w:sz w:val="21"/>
        </w:rPr>
        <w:t>BOM</w:t>
      </w:r>
      <w:r>
        <w:rPr>
          <w:sz w:val="21"/>
        </w:rPr>
        <w:t>；後續以相同資料和模型比較</w:t>
      </w:r>
      <w:r>
        <w:rPr>
          <w:sz w:val="21"/>
        </w:rPr>
        <w:t>CPU</w:t>
      </w:r>
      <w:r>
        <w:rPr>
          <w:sz w:val="21"/>
        </w:rPr>
        <w:t>／</w:t>
      </w:r>
      <w:r>
        <w:rPr>
          <w:sz w:val="21"/>
        </w:rPr>
        <w:t>GPU</w:t>
      </w:r>
      <w:r>
        <w:rPr>
          <w:sz w:val="21"/>
        </w:rPr>
        <w:t>訓練時間、顯示記憶體占用、能耗及結果一致性，目前不填入效能數字。</w:t>
      </w:r>
    </w:p>
    <w:p w14:paraId="1FE244AC" w14:textId="472B29B3" w:rsidR="00D0235A" w:rsidRDefault="00657D96">
      <w:pPr>
        <w:spacing w:after="80" w:line="286" w:lineRule="exact"/>
        <w:ind w:firstLine="0"/>
      </w:pPr>
      <w:r>
        <w:rPr>
          <w:b/>
          <w:sz w:val="21"/>
        </w:rPr>
        <w:t>本頁參考資料（原廠／合作夥伴規格；</w:t>
      </w:r>
      <w:r w:rsidR="00650460">
        <w:rPr>
          <w:rFonts w:hint="eastAsia"/>
          <w:b/>
          <w:sz w:val="21"/>
        </w:rPr>
        <w:t>）</w:t>
      </w:r>
      <w:r>
        <w:rPr>
          <w:b/>
          <w:sz w:val="21"/>
        </w:rPr>
        <w:t>：</w:t>
      </w:r>
    </w:p>
    <w:p w14:paraId="46713993" w14:textId="77777777" w:rsidR="00D0235A" w:rsidRDefault="00657D96">
      <w:pPr>
        <w:spacing w:after="40" w:line="230" w:lineRule="exact"/>
        <w:ind w:firstLine="0"/>
      </w:pPr>
      <w:r>
        <w:rPr>
          <w:sz w:val="16"/>
        </w:rPr>
        <w:t>[12] NVIDIA RTX 6000 Ada Generation</w:t>
      </w:r>
      <w:r>
        <w:rPr>
          <w:sz w:val="16"/>
        </w:rPr>
        <w:t>｜</w:t>
      </w:r>
      <w:r>
        <w:rPr>
          <w:sz w:val="16"/>
        </w:rPr>
        <w:t>https://www.nvidia.com/en-us/design-visualization/rtx-6000</w:t>
      </w:r>
    </w:p>
    <w:p w14:paraId="00BA93FF" w14:textId="77777777" w:rsidR="00D0235A" w:rsidRDefault="00657D96">
      <w:pPr>
        <w:spacing w:after="40" w:line="230" w:lineRule="exact"/>
        <w:ind w:firstLine="0"/>
      </w:pPr>
      <w:r>
        <w:rPr>
          <w:sz w:val="16"/>
        </w:rPr>
        <w:t>[13] PNY</w:t>
      </w:r>
      <w:r>
        <w:rPr>
          <w:sz w:val="16"/>
        </w:rPr>
        <w:t>：規格與功能｜</w:t>
      </w:r>
      <w:r>
        <w:rPr>
          <w:sz w:val="16"/>
        </w:rPr>
        <w:t>https://www.pny.com/nvidia-rtx-6000-ada?iscommercial=true</w:t>
      </w:r>
    </w:p>
    <w:sectPr w:rsidR="00D0235A" w:rsidSect="00034616">
      <w:headerReference w:type="default" r:id="rId18"/>
      <w:footerReference w:type="default" r:id="rId19"/>
      <w:pgSz w:w="11906" w:h="16838"/>
      <w:pgMar w:top="1304" w:right="1361" w:bottom="1304" w:left="1361" w:header="624" w:footer="62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827E3" w14:textId="77777777" w:rsidR="00B20980" w:rsidRDefault="00B20980">
      <w:pPr>
        <w:spacing w:after="0" w:line="240" w:lineRule="auto"/>
      </w:pPr>
      <w:r>
        <w:separator/>
      </w:r>
    </w:p>
  </w:endnote>
  <w:endnote w:type="continuationSeparator" w:id="0">
    <w:p w14:paraId="1B74FCEC" w14:textId="77777777" w:rsidR="00B20980" w:rsidRDefault="00B20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9B03" w14:textId="77777777" w:rsidR="00ED7F7C" w:rsidRDefault="00CD09D0">
    <w:pPr>
      <w:pStyle w:val="a7"/>
      <w:jc w:val="center"/>
    </w:pPr>
    <w:r>
      <w:fldChar w:fldCharType="begin"/>
    </w:r>
    <w:r>
      <w:instrText xml:space="preserve"> PAGE </w:instrText>
    </w:r>
    <w:r>
      <w:fldChar w:fldCharType="separate"/>
    </w:r>
    <w:r w:rsidR="009363EA">
      <w:rPr>
        <w:noProof/>
      </w:rPr>
      <w:t>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1AAFD" w14:textId="77777777" w:rsidR="00ED7F7C" w:rsidRDefault="00CD09D0">
    <w:pPr>
      <w:pStyle w:val="a7"/>
      <w:jc w:val="center"/>
    </w:pPr>
    <w:r>
      <w:t xml:space="preserve">— </w:t>
    </w:r>
    <w:r>
      <w:fldChar w:fldCharType="begin"/>
    </w:r>
    <w:r>
      <w:instrText xml:space="preserve"> PAGE </w:instrText>
    </w:r>
    <w:r>
      <w:fldChar w:fldCharType="separate"/>
    </w:r>
    <w:r w:rsidR="009363EA">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9F665" w14:textId="77777777" w:rsidR="00B20980" w:rsidRDefault="00B20980">
      <w:pPr>
        <w:spacing w:after="0" w:line="240" w:lineRule="auto"/>
      </w:pPr>
      <w:r>
        <w:separator/>
      </w:r>
    </w:p>
  </w:footnote>
  <w:footnote w:type="continuationSeparator" w:id="0">
    <w:p w14:paraId="5084C908" w14:textId="77777777" w:rsidR="00B20980" w:rsidRDefault="00B20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2BFC" w14:textId="77777777" w:rsidR="00ED7F7C" w:rsidRDefault="00ED7F7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E5FB" w14:textId="77777777" w:rsidR="00ED7F7C" w:rsidRDefault="00CD09D0">
    <w:pPr>
      <w:pStyle w:val="a5"/>
      <w:jc w:val="right"/>
    </w:pPr>
    <w:r>
      <w:t>乾式真空泵的跨工況多模態異常預警模組｜專題說明書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99727868">
    <w:abstractNumId w:val="8"/>
  </w:num>
  <w:num w:numId="2" w16cid:durableId="2036423069">
    <w:abstractNumId w:val="6"/>
  </w:num>
  <w:num w:numId="3" w16cid:durableId="1195770474">
    <w:abstractNumId w:val="5"/>
  </w:num>
  <w:num w:numId="4" w16cid:durableId="443227905">
    <w:abstractNumId w:val="4"/>
  </w:num>
  <w:num w:numId="5" w16cid:durableId="461194414">
    <w:abstractNumId w:val="7"/>
  </w:num>
  <w:num w:numId="6" w16cid:durableId="1743522056">
    <w:abstractNumId w:val="3"/>
  </w:num>
  <w:num w:numId="7" w16cid:durableId="2136484206">
    <w:abstractNumId w:val="2"/>
  </w:num>
  <w:num w:numId="8" w16cid:durableId="1309363014">
    <w:abstractNumId w:val="1"/>
  </w:num>
  <w:num w:numId="9" w16cid:durableId="1697732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EFB"/>
    <w:rsid w:val="000E1668"/>
    <w:rsid w:val="0015074B"/>
    <w:rsid w:val="001C77D0"/>
    <w:rsid w:val="00287EE8"/>
    <w:rsid w:val="0029639D"/>
    <w:rsid w:val="00326F90"/>
    <w:rsid w:val="003A5D33"/>
    <w:rsid w:val="00650460"/>
    <w:rsid w:val="00657D96"/>
    <w:rsid w:val="0071254B"/>
    <w:rsid w:val="007942CF"/>
    <w:rsid w:val="008F0024"/>
    <w:rsid w:val="009363EA"/>
    <w:rsid w:val="009A3909"/>
    <w:rsid w:val="00AA1D8D"/>
    <w:rsid w:val="00B20980"/>
    <w:rsid w:val="00B47730"/>
    <w:rsid w:val="00C96DD1"/>
    <w:rsid w:val="00CB0664"/>
    <w:rsid w:val="00CD09D0"/>
    <w:rsid w:val="00CF6A83"/>
    <w:rsid w:val="00D0235A"/>
    <w:rsid w:val="00E01DA0"/>
    <w:rsid w:val="00EA2B3E"/>
    <w:rsid w:val="00ED7F7C"/>
    <w:rsid w:val="00FA11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8C3B72"/>
  <w14:defaultImageDpi w14:val="300"/>
  <w15:docId w15:val="{75254269-7BEC-4827-A2FC-840D1E3C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keepLines/>
      <w:spacing w:after="100" w:line="360" w:lineRule="exact"/>
      <w:ind w:firstLine="480"/>
    </w:pPr>
    <w:rPr>
      <w:rFonts w:ascii="Times New Roman" w:eastAsia="新細明體" w:hAnsi="Times New Roman"/>
      <w:color w:val="000000"/>
      <w:sz w:val="24"/>
      <w:lang w:eastAsia="zh-TW"/>
    </w:rPr>
  </w:style>
  <w:style w:type="paragraph" w:styleId="1">
    <w:name w:val="heading 1"/>
    <w:basedOn w:val="a1"/>
    <w:next w:val="a1"/>
    <w:link w:val="10"/>
    <w:uiPriority w:val="9"/>
    <w:qFormat/>
    <w:rsid w:val="00FC693F"/>
    <w:pPr>
      <w:keepNext/>
      <w:spacing w:after="160" w:line="300" w:lineRule="auto"/>
      <w:ind w:firstLine="0"/>
      <w:outlineLvl w:val="0"/>
    </w:pPr>
    <w:rPr>
      <w:rFonts w:asciiTheme="majorHAnsi" w:eastAsiaTheme="majorEastAsia" w:hAnsiTheme="majorHAnsi" w:cstheme="majorBidi"/>
      <w:b/>
      <w:bCs/>
      <w:color w:val="16324F"/>
      <w:sz w:val="32"/>
      <w:szCs w:val="28"/>
    </w:rPr>
  </w:style>
  <w:style w:type="paragraph" w:styleId="21">
    <w:name w:val="heading 2"/>
    <w:basedOn w:val="a1"/>
    <w:next w:val="a1"/>
    <w:link w:val="22"/>
    <w:uiPriority w:val="9"/>
    <w:unhideWhenUsed/>
    <w:qFormat/>
    <w:rsid w:val="00FC693F"/>
    <w:pPr>
      <w:keepNext/>
      <w:spacing w:before="240" w:after="160" w:line="300" w:lineRule="auto"/>
      <w:ind w:firstLine="0"/>
      <w:outlineLvl w:val="1"/>
    </w:pPr>
    <w:rPr>
      <w:rFonts w:asciiTheme="majorHAnsi" w:eastAsiaTheme="majorEastAsia" w:hAnsiTheme="majorHAnsi" w:cstheme="majorBidi"/>
      <w:b/>
      <w:bCs/>
      <w:color w:val="16324F"/>
      <w:sz w:val="28"/>
      <w:szCs w:val="26"/>
    </w:rPr>
  </w:style>
  <w:style w:type="paragraph" w:styleId="31">
    <w:name w:val="heading 3"/>
    <w:basedOn w:val="a1"/>
    <w:next w:val="a1"/>
    <w:link w:val="32"/>
    <w:uiPriority w:val="9"/>
    <w:unhideWhenUsed/>
    <w:qFormat/>
    <w:rsid w:val="00FC693F"/>
    <w:pPr>
      <w:keepNext/>
      <w:spacing w:before="240" w:after="160" w:line="300" w:lineRule="auto"/>
      <w:ind w:firstLine="0"/>
      <w:outlineLvl w:val="2"/>
    </w:pPr>
    <w:rPr>
      <w:rFonts w:asciiTheme="majorHAnsi" w:eastAsiaTheme="majorEastAsia" w:hAnsiTheme="majorHAnsi" w:cstheme="majorBidi"/>
      <w:b/>
      <w:bCs/>
      <w:color w:val="16324F"/>
      <w:sz w:val="25"/>
    </w:rPr>
  </w:style>
  <w:style w:type="paragraph" w:styleId="4">
    <w:name w:val="heading 4"/>
    <w:basedOn w:val="a1"/>
    <w:next w:val="a1"/>
    <w:link w:val="40"/>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60" w:line="264" w:lineRule="auto"/>
      <w:ind w:firstLine="0"/>
    </w:pPr>
    <w:rPr>
      <w:rFonts w:eastAsia="微軟正黑體"/>
      <w:color w:val="5B6570"/>
      <w:sz w:val="18"/>
    </w:r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60" w:line="264" w:lineRule="auto"/>
      <w:ind w:firstLine="0"/>
    </w:pPr>
    <w:rPr>
      <w:rFonts w:eastAsia="Times New Roman"/>
      <w:color w:val="5B6570"/>
      <w:sz w:val="18"/>
    </w:r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80"/>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after="60" w:line="264" w:lineRule="auto"/>
      <w:ind w:firstLine="0"/>
    </w:pPr>
    <w:rPr>
      <w:bCs/>
      <w:color w:val="5B6570"/>
      <w:sz w:val="20"/>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10">
    <w:name w:val="目錄 11"/>
    <w:pPr>
      <w:spacing w:before="60" w:after="40" w:line="259" w:lineRule="auto"/>
    </w:pPr>
    <w:rPr>
      <w:rFonts w:ascii="Times New Roman" w:eastAsia="新細明體" w:hAnsi="Times New Roman"/>
      <w:b/>
      <w:color w:val="000000"/>
      <w:lang w:eastAsia="zh-TW"/>
    </w:rPr>
  </w:style>
  <w:style w:type="paragraph" w:customStyle="1" w:styleId="210">
    <w:name w:val="目錄 21"/>
    <w:pPr>
      <w:spacing w:after="40" w:line="259" w:lineRule="auto"/>
      <w:ind w:left="240"/>
    </w:pPr>
    <w:rPr>
      <w:rFonts w:ascii="Times New Roman" w:eastAsia="新細明體" w:hAnsi="Times New Roman"/>
      <w:color w:val="000000"/>
      <w:sz w:val="21"/>
      <w:lang w:eastAsia="zh-TW"/>
    </w:rPr>
  </w:style>
  <w:style w:type="paragraph" w:customStyle="1" w:styleId="310">
    <w:name w:val="目錄 31"/>
    <w:pPr>
      <w:spacing w:after="40" w:line="259" w:lineRule="auto"/>
      <w:ind w:left="480"/>
    </w:pPr>
    <w:rPr>
      <w:rFonts w:ascii="Times New Roman" w:eastAsia="新細明體" w:hAnsi="Times New Roman"/>
      <w:color w:val="000000"/>
      <w:sz w:val="21"/>
      <w:lang w:eastAsia="zh-TW"/>
    </w:rPr>
  </w:style>
  <w:style w:type="paragraph" w:styleId="14">
    <w:name w:val="toc 1"/>
    <w:basedOn w:val="a1"/>
    <w:next w:val="a1"/>
    <w:autoRedefine/>
    <w:uiPriority w:val="39"/>
    <w:unhideWhenUsed/>
    <w:rsid w:val="009363EA"/>
  </w:style>
  <w:style w:type="paragraph" w:styleId="2a">
    <w:name w:val="toc 2"/>
    <w:basedOn w:val="a1"/>
    <w:next w:val="a1"/>
    <w:autoRedefine/>
    <w:uiPriority w:val="39"/>
    <w:unhideWhenUsed/>
    <w:rsid w:val="009363EA"/>
    <w:pPr>
      <w:ind w:leftChars="200" w:left="480"/>
    </w:pPr>
  </w:style>
  <w:style w:type="paragraph" w:styleId="38">
    <w:name w:val="toc 3"/>
    <w:basedOn w:val="a1"/>
    <w:next w:val="a1"/>
    <w:autoRedefine/>
    <w:uiPriority w:val="39"/>
    <w:unhideWhenUsed/>
    <w:rsid w:val="009363EA"/>
    <w:pPr>
      <w:ind w:leftChars="400" w:left="960"/>
    </w:pPr>
  </w:style>
  <w:style w:type="character" w:styleId="affa">
    <w:name w:val="Hyperlink"/>
    <w:basedOn w:val="a2"/>
    <w:uiPriority w:val="99"/>
    <w:unhideWhenUsed/>
    <w:rsid w:val="009363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29</Pages>
  <Words>3344</Words>
  <Characters>19066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乾式真空泵的跨工況多模態異常預警模組</dc:title>
  <dc:subject>乾式真空泵跨工況、多模態異常預警之設計與驗證規劃</dc:subject>
  <dc:creator>國立台灣科技大學 湯棨富</dc:creator>
  <cp:keywords>乾式真空泵,跨工況,多模態,邊緣運算,異常預警</cp:keywords>
  <dc:description>圖示補充版：7張圖為明示之合成資料／設計示意，顯卡圖片由使用者提供；GPU效能未實測。</dc:description>
  <cp:lastModifiedBy>CHI FU TANG</cp:lastModifiedBy>
  <cp:revision>9</cp:revision>
  <dcterms:created xsi:type="dcterms:W3CDTF">2013-12-23T23:15:00Z</dcterms:created>
  <dcterms:modified xsi:type="dcterms:W3CDTF">2026-10-10T14:20:00Z</dcterms:modified>
  <cp:category/>
</cp:coreProperties>
</file>